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F738" w14:textId="5A92B3F3" w:rsidR="00DB2464" w:rsidRPr="00DB2464" w:rsidRDefault="006A61D5" w:rsidP="00DB2464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D5124">
        <w:rPr>
          <w:rFonts w:ascii="Times New Roman" w:hAnsi="Times New Roman" w:cs="Times New Roman"/>
        </w:rPr>
        <w:t xml:space="preserve">Ata da </w:t>
      </w:r>
      <w:r w:rsidR="00DB2464">
        <w:rPr>
          <w:rFonts w:ascii="Times New Roman" w:hAnsi="Times New Roman" w:cs="Times New Roman"/>
        </w:rPr>
        <w:t>vigésima</w:t>
      </w:r>
      <w:r w:rsidR="005D6FAA" w:rsidRPr="009D5124">
        <w:rPr>
          <w:rFonts w:ascii="Times New Roman" w:hAnsi="Times New Roman" w:cs="Times New Roman"/>
        </w:rPr>
        <w:t xml:space="preserve">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eunião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onjunta da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omissão de </w:t>
      </w:r>
      <w:r w:rsidR="00DB2464">
        <w:rPr>
          <w:rFonts w:ascii="Times New Roman" w:hAnsi="Times New Roman" w:cs="Times New Roman"/>
        </w:rPr>
        <w:t>j</w:t>
      </w:r>
      <w:r w:rsidRPr="009D5124">
        <w:rPr>
          <w:rFonts w:ascii="Times New Roman" w:hAnsi="Times New Roman" w:cs="Times New Roman"/>
        </w:rPr>
        <w:t xml:space="preserve">ustiça,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edação e </w:t>
      </w:r>
      <w:r w:rsidR="00DB2464">
        <w:rPr>
          <w:rFonts w:ascii="Times New Roman" w:hAnsi="Times New Roman" w:cs="Times New Roman"/>
        </w:rPr>
        <w:t>p</w:t>
      </w:r>
      <w:r w:rsidRPr="009D5124">
        <w:rPr>
          <w:rFonts w:ascii="Times New Roman" w:hAnsi="Times New Roman" w:cs="Times New Roman"/>
        </w:rPr>
        <w:t xml:space="preserve">areceres e da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omissão de </w:t>
      </w:r>
      <w:r w:rsidR="00DB2464">
        <w:rPr>
          <w:rFonts w:ascii="Times New Roman" w:hAnsi="Times New Roman" w:cs="Times New Roman"/>
        </w:rPr>
        <w:t>f</w:t>
      </w:r>
      <w:r w:rsidRPr="009D5124">
        <w:rPr>
          <w:rFonts w:ascii="Times New Roman" w:hAnsi="Times New Roman" w:cs="Times New Roman"/>
        </w:rPr>
        <w:t xml:space="preserve">inanças e </w:t>
      </w:r>
      <w:r w:rsidR="00DB2464">
        <w:rPr>
          <w:rFonts w:ascii="Times New Roman" w:hAnsi="Times New Roman" w:cs="Times New Roman"/>
        </w:rPr>
        <w:t>o</w:t>
      </w:r>
      <w:r w:rsidRPr="009D5124">
        <w:rPr>
          <w:rFonts w:ascii="Times New Roman" w:hAnsi="Times New Roman" w:cs="Times New Roman"/>
        </w:rPr>
        <w:t xml:space="preserve">rçamento da Câmara Municipal de Vereadores de Renascença. Aos </w:t>
      </w:r>
      <w:r w:rsidR="00DB2464">
        <w:rPr>
          <w:rFonts w:ascii="Times New Roman" w:hAnsi="Times New Roman" w:cs="Times New Roman"/>
        </w:rPr>
        <w:t>três</w:t>
      </w:r>
      <w:r w:rsidRPr="009D5124">
        <w:rPr>
          <w:rFonts w:ascii="Times New Roman" w:hAnsi="Times New Roman" w:cs="Times New Roman"/>
        </w:rPr>
        <w:t xml:space="preserve"> dias do mês de </w:t>
      </w:r>
      <w:r w:rsidR="00DB2464">
        <w:rPr>
          <w:rFonts w:ascii="Times New Roman" w:hAnsi="Times New Roman" w:cs="Times New Roman"/>
        </w:rPr>
        <w:t>setembro</w:t>
      </w:r>
      <w:r w:rsidRPr="009D5124">
        <w:rPr>
          <w:rFonts w:ascii="Times New Roman" w:hAnsi="Times New Roman" w:cs="Times New Roman"/>
        </w:rPr>
        <w:t xml:space="preserve"> de 2024, junto ao Plenário da Câmara Municipal, reuniram-se</w:t>
      </w:r>
      <w:r w:rsidRPr="009D5124">
        <w:rPr>
          <w:rFonts w:ascii="Times New Roman" w:hAnsi="Times New Roman" w:cs="Times New Roman"/>
          <w:b/>
        </w:rPr>
        <w:t xml:space="preserve"> </w:t>
      </w:r>
      <w:r w:rsidRPr="009D5124">
        <w:rPr>
          <w:rFonts w:ascii="Times New Roman" w:hAnsi="Times New Roman" w:cs="Times New Roman"/>
        </w:rPr>
        <w:t xml:space="preserve">os vereadores para </w:t>
      </w:r>
      <w:r w:rsidR="00DB2464">
        <w:rPr>
          <w:rFonts w:ascii="Times New Roman" w:hAnsi="Times New Roman" w:cs="Times New Roman"/>
        </w:rPr>
        <w:t>r</w:t>
      </w:r>
      <w:r w:rsidRPr="009D5124">
        <w:rPr>
          <w:rFonts w:ascii="Times New Roman" w:hAnsi="Times New Roman" w:cs="Times New Roman"/>
        </w:rPr>
        <w:t xml:space="preserve">eunião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onjunta das </w:t>
      </w:r>
      <w:r w:rsidR="00DB2464">
        <w:rPr>
          <w:rFonts w:ascii="Times New Roman" w:hAnsi="Times New Roman" w:cs="Times New Roman"/>
        </w:rPr>
        <w:t>c</w:t>
      </w:r>
      <w:r w:rsidRPr="009D5124">
        <w:rPr>
          <w:rFonts w:ascii="Times New Roman" w:hAnsi="Times New Roman" w:cs="Times New Roman"/>
        </w:rPr>
        <w:t xml:space="preserve">omissões </w:t>
      </w:r>
      <w:r w:rsidR="00DB2464">
        <w:rPr>
          <w:rFonts w:ascii="Times New Roman" w:hAnsi="Times New Roman" w:cs="Times New Roman"/>
        </w:rPr>
        <w:t>p</w:t>
      </w:r>
      <w:r w:rsidRPr="009D5124">
        <w:rPr>
          <w:rFonts w:ascii="Times New Roman" w:hAnsi="Times New Roman" w:cs="Times New Roman"/>
        </w:rPr>
        <w:t xml:space="preserve">ermanentes.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Pela </w:t>
      </w:r>
      <w:r w:rsidR="00DB2464">
        <w:rPr>
          <w:rFonts w:ascii="Times New Roman" w:hAnsi="Times New Roman" w:cs="Times New Roman"/>
          <w:shd w:val="clear" w:color="auto" w:fill="FFFFFF"/>
        </w:rPr>
        <w:t>c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omissão de </w:t>
      </w:r>
      <w:r w:rsidR="00DB2464">
        <w:rPr>
          <w:rFonts w:ascii="Times New Roman" w:hAnsi="Times New Roman" w:cs="Times New Roman"/>
          <w:shd w:val="clear" w:color="auto" w:fill="FFFFFF"/>
        </w:rPr>
        <w:t>j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ustiça, </w:t>
      </w:r>
      <w:r w:rsidR="00DB2464">
        <w:rPr>
          <w:rFonts w:ascii="Times New Roman" w:hAnsi="Times New Roman" w:cs="Times New Roman"/>
          <w:shd w:val="clear" w:color="auto" w:fill="FFFFFF"/>
        </w:rPr>
        <w:t>r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edação e </w:t>
      </w:r>
      <w:r w:rsidR="00DB2464">
        <w:rPr>
          <w:rFonts w:ascii="Times New Roman" w:hAnsi="Times New Roman" w:cs="Times New Roman"/>
          <w:shd w:val="clear" w:color="auto" w:fill="FFFFFF"/>
        </w:rPr>
        <w:t>p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areceres estiveram presentes os senhores: Vanderson Rodrigo Zanini, Presidente, Gilmar Schmidt, Vice-Presidente, e Fabieli Manfredi, 1ª Secretária. Pela Comissão de Finanças e Orçamento estiveram presentes os Senhores: </w:t>
      </w:r>
      <w:r w:rsidRPr="009D5124">
        <w:rPr>
          <w:rFonts w:ascii="Times New Roman" w:hAnsi="Times New Roman" w:cs="Times New Roman"/>
        </w:rPr>
        <w:t xml:space="preserve">Marcos Antonio Valandro, Presidente, Jonas Maria de Oliveira, Vice-Presidente e Everson Antonio Tedesco, 1º Secretário. </w:t>
      </w:r>
      <w:r w:rsidRPr="009D5124">
        <w:rPr>
          <w:rFonts w:ascii="Times New Roman" w:hAnsi="Times New Roman" w:cs="Times New Roman"/>
          <w:shd w:val="clear" w:color="auto" w:fill="FFFFFF"/>
        </w:rPr>
        <w:t>Havendo número regimental, foi declarada aberta a reunião, a qual foi convocada com a finalidade de apreciar a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</w:t>
      </w:r>
      <w:r w:rsidRPr="009D5124">
        <w:rPr>
          <w:rFonts w:ascii="Times New Roman" w:hAnsi="Times New Roman" w:cs="Times New Roman"/>
        </w:rPr>
        <w:t>proposiç</w:t>
      </w:r>
      <w:r w:rsidR="00795115">
        <w:rPr>
          <w:rFonts w:ascii="Times New Roman" w:hAnsi="Times New Roman" w:cs="Times New Roman"/>
        </w:rPr>
        <w:t>ões</w:t>
      </w:r>
      <w:r w:rsidRPr="009D5124">
        <w:rPr>
          <w:rFonts w:ascii="Times New Roman" w:hAnsi="Times New Roman" w:cs="Times New Roman"/>
        </w:rPr>
        <w:t>:</w:t>
      </w:r>
      <w:r w:rsidR="00023961">
        <w:rPr>
          <w:rFonts w:ascii="Times New Roman" w:hAnsi="Times New Roman" w:cs="Times New Roman"/>
        </w:rPr>
        <w:t xml:space="preserve"> </w:t>
      </w:r>
      <w:r w:rsidR="00DB2464" w:rsidRPr="00DB2464">
        <w:rPr>
          <w:rFonts w:ascii="Times New Roman" w:hAnsi="Times New Roman" w:cs="Times New Roman"/>
          <w:bCs/>
          <w:color w:val="000000" w:themeColor="text1"/>
        </w:rPr>
        <w:t>(a) Projeto de Lei n.º 029/2024, de 22 de agosto de 2024, que autoriza o Executivo Municipal a abrir crédito adicional especial no valor de R$ 3.100.000,00 (três milhões e cem mil reais) no Plano Plurianual-PPA, na Lei de Diretrizes Orçamentárias-LDO, e na Lei Orçamentária Anual-LOA, para o Exercício Financeiro de 2024; e (b) Projeto de Lei n.º 030/2024, de 22 de agosto de 2024, que autoriza o Executivo Municipal a abrir crédito adicional suplementar no valor de R$ 1.540.373,62 (um milhão, quinhentos e quarenta mil, trezentos e setenta e três reais e sessenta e dois centavos) no Plano Plurianual-PPA, na Lei de Diretrizes Orçamentárias-LDO, e na Lei Orçamentária Anual-LOA, para o Exercício Financeiro de 2024.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votação, foi aprovado o parecer por unanimidade,</w:t>
      </w:r>
      <w:r w:rsidR="00DB2464" w:rsidRPr="00DB246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conforme fundamentação a seguir exposta: </w:t>
      </w:r>
      <w:r w:rsidR="00DB2464" w:rsidRPr="00DB2464">
        <w:rPr>
          <w:rFonts w:ascii="Times New Roman" w:hAnsi="Times New Roman" w:cs="Times New Roman"/>
          <w:b/>
          <w:color w:val="000000" w:themeColor="text1"/>
          <w:u w:val="single"/>
        </w:rPr>
        <w:t>Projeto de Lei n.º 029/2024, de 22 de agosto de 2024.</w:t>
      </w:r>
      <w:r w:rsidR="00DB2464" w:rsidRPr="00DB246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De autoria do Chefe do Poder Executivo, o Projeto de Lei n.º 029/2024, de 22 de agosto de 2024, busca autorização legislativa para abertura de um crédito adicional especial no valor de R$ 3.100.000,00 (três milhões e cem mil reais), junto a Secretaria Municipal de Obras, Viação e Urbanismo, destinado à execução de pavimentação asfáltica (com CBUQ) na Linha Canela, interior do município de Renascença. Através da Mensagem 029, de 2024, que acompanha o projeto, justifica o Chefe do Poder Executivo que o projeto tem por finalidade criar através de crédito adicional especial dotações orçamentárias não existentes no orçamento-programa de 2024, referente à seguinte Fonte: 855 – Convênio nº 233/2024 – SEAB/Pavimentação com CBUQ (Asfalto na Linha Canela). Afirma, também, que os recursos foram repassados pelo Governo do Estado do Paraná pela SEAB – Secretaria de Estado da Agricultura e do Abastecimento, através do Convênio nº 233/2024, cujo objeto é: Pavimentação Asfáltica com CBUQ em 6.627,36 metros, com um a área de pavimento de 41.508,07 m2. Por fim, menciona o Prefeito Municipal que o valor do convênio foi de R$ 3.000.000,00 (três milhões de reais), e que foram previstos no projeto mais R$ 100.000,00 (cem mil reais) para uma possível devolução de sobras e de rendimentos em aplicações financeiras, a fim de dar cumprimento às disposições contratuais que preveem a devolução das sobras dos recursos (cláusula quarta). É o relatório. </w:t>
      </w:r>
      <w:r w:rsidR="00DB2464" w:rsidRPr="00DB2464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Analisando a proposição, verifica-se que a iniciativa do Poder Executivo está articulada de acordo com o que determina a Constituição Federal (art. 165) e a Lei Orgânica municipal (art. 139), cabendo a ele a iniciativa exclusiva do Projeto de Lei. A proposta encaminhada a esta Casa de Leis objetiva criar dotações orçamentárias especificas na Lei Orçamentária de 2024, no valor de R$ 3.100.000,00 (três </w:t>
      </w:r>
      <w:r w:rsidR="00DB2464" w:rsidRPr="00DB2464">
        <w:rPr>
          <w:rFonts w:ascii="Times New Roman" w:hAnsi="Times New Roman" w:cs="Times New Roman"/>
          <w:color w:val="000000" w:themeColor="text1"/>
        </w:rPr>
        <w:lastRenderedPageBreak/>
        <w:t>milhões e cem mil reais), em favor da Secretaria Municipal de Obras, Viação e Urbanismo, cujos valores são oriundos de repasse do Governo do Estado do Paraná, através do Convênio SEAB n.º 233/2024, cujo objeto é a pavimentação asfáltica em CBUQ na Linha Canela, interior do município de Renascença.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a determinação do art. 43 da Lei nº 4.320/1964, os recursos para a contrapartida do projeto estão previstos no art. 2º e serão decorrentes do excesso de arrecadação referente ao repasse feito pelo Convênio n.º 233/2024, celebrado com o Estado do Paraná.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029, de 2024, do Executivo Municipal.</w:t>
      </w:r>
      <w:r w:rsidR="00DB2464" w:rsidRPr="00DB2464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029/2024, de 22 de agosto de 2024. </w:t>
      </w:r>
      <w:r w:rsidR="00DB2464" w:rsidRPr="00DB2464">
        <w:rPr>
          <w:rFonts w:ascii="Times New Roman" w:hAnsi="Times New Roman" w:cs="Times New Roman"/>
          <w:b/>
          <w:color w:val="000000" w:themeColor="text1"/>
          <w:u w:val="single"/>
        </w:rPr>
        <w:t>Projeto de Lei n.º 030/2024, de 22 de agosto de 2024.</w:t>
      </w:r>
      <w:r w:rsidR="00DB2464" w:rsidRPr="00DB246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Por sua vez, foi baixado também para análise das Comissões Permanentes o Projeto de Lei n.º 030/2024, de 22 de agosto de 2024, de autoria do Chefe do Poder Executivo, que tem por finalidade abrir um crédito adicional suplementar no valor de R$ 1.540.373,62 (um milhão, quinhentos e quarenta mil, trezentos e setenta e três reais e sessenta e dois centavos), em favor da Secretaria Municipal de Obras, Viação e Urbanismo, objetivando reforçar dotações orçamentárias junto a Lei Orçamentária Anual – LOA de 2024, a fim de possibilitar o empenhamento da contrapartida municipal referente ao Convênio n.º 233/2024 celebrado com o Governo do Estado do Paraná. Através da Mensagem n.º 030, de 2024, que acompanha o projeto, justifica o Chefe do Poder Executivo que o projeto tem por finalidade reforçar dotação orçamentaria de rubrica 4.4.90.51.00 – Obras e instalações, pertencente à Fonte: 000 – Recursos Ordinários (Livres). Destaca o Prefeito Municipal que o projeto apresentado complementa o PL nº 029/2024, e está reforçando a rubrica que vai servir para empenhar a contrapartida municipal referente ao Convênio nº 233/2024 celebrado com o Governo do Estado do Paraná através da SEAB – Secretaria de Estado da Agricultura e do Abastecimento, cujo objeto é a pavimentação asfáltica em CBQU em 6.627,36 metros, com uma área de pavimento de 41.508,07 m2. Além disso, informa que o valor repassado do convênio foi de R$ 3.000.000,00 (três milhões de reais) e o valor da contrapartida municipal será de R$ 2.540.373,62 (dois milhões, quinhentos e quarenta mil, trezentos e setenta e três reais e sessenta e dois centavos), perfazendo o total de R$ 5.540.373,62 (cinco milhões, quinhentos e quarenta mil, trezentos e setenta e três reais e sessenta e dois centavos), cujo valor será utilizado integralmente pelo município para pavimentação na Linha Canela. É o relatório. </w:t>
      </w:r>
      <w:r w:rsidR="00DB2464" w:rsidRPr="00DB2464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Do exame da proposição, verifica-se que a iniciativa do Poder Executivo está articulada de acordo com o que determina a Constituição Federal (art. 165) e a Lei Orgânica municipal (art. 139), cabendo a ele a iniciativa exclusiva do Projeto de Lei. A proposta é uma complementação do PL n.º 029/2024, tendo por objetivo reforçar dotações orçamentárias existentes na Lei Orçamentária de 2024, no valor de R$ 1.540.373,62 (um </w:t>
      </w:r>
      <w:r w:rsidR="00DB2464" w:rsidRPr="00DB2464">
        <w:rPr>
          <w:rFonts w:ascii="Times New Roman" w:hAnsi="Times New Roman" w:cs="Times New Roman"/>
          <w:color w:val="000000" w:themeColor="text1"/>
        </w:rPr>
        <w:lastRenderedPageBreak/>
        <w:t xml:space="preserve">milhão, quinhentos e quarenta mil, trezentos e setenta e três reais e sessenta e dois centavos), em favor da Secretaria Municipal de Obras, Viação e Urbanismo, a fim de possibilitar o empenhamento da contrapartida municipal referente ao Convênio SEAB n.º 233/2024, cujo objeto é a pavimentação asfáltica em CBUQ na Linha Canela, interior do município de Renascença. A Lei n.º 4.320, de 1964 define quais são os tipos de créditos adicionais, sendo o crédito adicional suplementar previsto no Inciso I do art. 47, que assim se expressa: “Art. 41. Os créditos adicionais classificam-se em: (...) I - suplementares, os destinados a </w:t>
      </w:r>
      <w:r w:rsidR="00DB2464" w:rsidRPr="00DB2464">
        <w:rPr>
          <w:rFonts w:ascii="Times New Roman" w:hAnsi="Times New Roman" w:cs="Times New Roman"/>
          <w:color w:val="000000" w:themeColor="text1"/>
        </w:rPr>
        <w:t>reforço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 de dotação </w:t>
      </w:r>
      <w:r w:rsidR="00DB2464" w:rsidRPr="00DB2464">
        <w:rPr>
          <w:rFonts w:ascii="Times New Roman" w:hAnsi="Times New Roman" w:cs="Times New Roman"/>
          <w:color w:val="000000" w:themeColor="text1"/>
        </w:rPr>
        <w:t>orçamentária;</w:t>
      </w:r>
      <w:r w:rsidR="00DB2464" w:rsidRPr="00DB2464">
        <w:rPr>
          <w:rFonts w:ascii="Times New Roman" w:hAnsi="Times New Roman" w:cs="Times New Roman"/>
          <w:color w:val="000000" w:themeColor="text1"/>
        </w:rPr>
        <w:t>”. Na mesma esteira, a Lei n.º 4.320, de 1964 exige que sejam indicados os recursos para coberturas das despesas. Em consonância com a determinação do art. 43 da Lei nº 4.320/1964, os recursos para a contrapartida do projeto estão previstos no art. 2º e serão decorrentes da redução de crédito orçamentário previstos na Fonte 000 – Recursos Ordinários (Livres).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030, de 2024, do Executivo Municipal.</w:t>
      </w:r>
      <w:r w:rsidR="00DB2464" w:rsidRPr="00DB2464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DB2464" w:rsidRPr="00DB2464">
        <w:rPr>
          <w:rFonts w:ascii="Times New Roman" w:hAnsi="Times New Roman" w:cs="Times New Roman"/>
          <w:color w:val="000000" w:themeColor="text1"/>
        </w:rPr>
        <w:t xml:space="preserve"> Diante do exposto, opinam as Comissões Permanentes também favoravelmente à tramitação do Projeto de Lei n.º 030/2024, de 22 de agosto de 2024, podendo seguir à deliberação do colegiado.</w:t>
      </w:r>
    </w:p>
    <w:p w14:paraId="292DDC7D" w14:textId="77777777" w:rsidR="00DB2464" w:rsidRPr="00DB2464" w:rsidRDefault="00DB2464" w:rsidP="00DB2464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9CF28B7" w14:textId="77777777" w:rsidR="00DB2464" w:rsidRPr="00E03B9E" w:rsidRDefault="00DB2464" w:rsidP="00E03B9E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687CC21" w14:textId="77777777" w:rsidR="00E03B9E" w:rsidRPr="009D5124" w:rsidRDefault="00E03B9E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9D5124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95C8C41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Fabieli Manfredi</w:t>
      </w:r>
    </w:p>
    <w:p w14:paraId="6907020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Marcos A. Valandro                                      Jonas M. de Oliveira</w:t>
      </w:r>
    </w:p>
    <w:p w14:paraId="7480B0C3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9D5124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9D5124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9D512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BDA3" w14:textId="77777777" w:rsidR="00DC1380" w:rsidRDefault="00DC1380" w:rsidP="000D6C47">
      <w:pPr>
        <w:spacing w:after="0" w:line="240" w:lineRule="auto"/>
      </w:pPr>
      <w:r>
        <w:separator/>
      </w:r>
    </w:p>
  </w:endnote>
  <w:endnote w:type="continuationSeparator" w:id="0">
    <w:p w14:paraId="79E87921" w14:textId="77777777" w:rsidR="00DC1380" w:rsidRDefault="00DC1380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8AB0" w14:textId="77777777" w:rsidR="00DC1380" w:rsidRDefault="00DC1380" w:rsidP="000D6C47">
      <w:pPr>
        <w:spacing w:after="0" w:line="240" w:lineRule="auto"/>
      </w:pPr>
      <w:r>
        <w:separator/>
      </w:r>
    </w:p>
  </w:footnote>
  <w:footnote w:type="continuationSeparator" w:id="0">
    <w:p w14:paraId="643C07EA" w14:textId="77777777" w:rsidR="00DC1380" w:rsidRDefault="00DC1380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23961"/>
    <w:rsid w:val="00051FFE"/>
    <w:rsid w:val="00066F0C"/>
    <w:rsid w:val="00085073"/>
    <w:rsid w:val="000B20FC"/>
    <w:rsid w:val="000B3F8D"/>
    <w:rsid w:val="000C1CFD"/>
    <w:rsid w:val="000D6C47"/>
    <w:rsid w:val="001379E9"/>
    <w:rsid w:val="00176D2B"/>
    <w:rsid w:val="00194ACF"/>
    <w:rsid w:val="00197052"/>
    <w:rsid w:val="001B520C"/>
    <w:rsid w:val="001F6252"/>
    <w:rsid w:val="00204B9C"/>
    <w:rsid w:val="00254099"/>
    <w:rsid w:val="00260930"/>
    <w:rsid w:val="002A240C"/>
    <w:rsid w:val="00305B7B"/>
    <w:rsid w:val="003232A7"/>
    <w:rsid w:val="00330E9B"/>
    <w:rsid w:val="0033533F"/>
    <w:rsid w:val="003C1001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B7166"/>
    <w:rsid w:val="005D6FAA"/>
    <w:rsid w:val="005E7030"/>
    <w:rsid w:val="005F5037"/>
    <w:rsid w:val="0060271D"/>
    <w:rsid w:val="006402BD"/>
    <w:rsid w:val="00644E78"/>
    <w:rsid w:val="0069585A"/>
    <w:rsid w:val="006A61D5"/>
    <w:rsid w:val="006B2A84"/>
    <w:rsid w:val="006C6F4B"/>
    <w:rsid w:val="006D5561"/>
    <w:rsid w:val="006F036C"/>
    <w:rsid w:val="006F3BB1"/>
    <w:rsid w:val="00701B4A"/>
    <w:rsid w:val="00702A3C"/>
    <w:rsid w:val="00730E1B"/>
    <w:rsid w:val="00762851"/>
    <w:rsid w:val="00795115"/>
    <w:rsid w:val="007A041A"/>
    <w:rsid w:val="00855321"/>
    <w:rsid w:val="00863BB7"/>
    <w:rsid w:val="008C5DD1"/>
    <w:rsid w:val="009210FC"/>
    <w:rsid w:val="00936F21"/>
    <w:rsid w:val="00947F1F"/>
    <w:rsid w:val="00981618"/>
    <w:rsid w:val="00981724"/>
    <w:rsid w:val="009D5124"/>
    <w:rsid w:val="009F5851"/>
    <w:rsid w:val="00A54603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BF4A8A"/>
    <w:rsid w:val="00C149AE"/>
    <w:rsid w:val="00C6352D"/>
    <w:rsid w:val="00D36DE6"/>
    <w:rsid w:val="00D437C9"/>
    <w:rsid w:val="00D46CB4"/>
    <w:rsid w:val="00D91722"/>
    <w:rsid w:val="00DA1ACB"/>
    <w:rsid w:val="00DB2464"/>
    <w:rsid w:val="00DC1380"/>
    <w:rsid w:val="00E03B9E"/>
    <w:rsid w:val="00E237B5"/>
    <w:rsid w:val="00E30A63"/>
    <w:rsid w:val="00E478E2"/>
    <w:rsid w:val="00E56205"/>
    <w:rsid w:val="00E56CD9"/>
    <w:rsid w:val="00E814E0"/>
    <w:rsid w:val="00EA54F5"/>
    <w:rsid w:val="00EF3FFA"/>
    <w:rsid w:val="00F02E7C"/>
    <w:rsid w:val="00F24DF8"/>
    <w:rsid w:val="00F45123"/>
    <w:rsid w:val="00F76595"/>
    <w:rsid w:val="00F85DB2"/>
    <w:rsid w:val="00F91BA2"/>
    <w:rsid w:val="00FA2853"/>
    <w:rsid w:val="00FB5EE0"/>
    <w:rsid w:val="00FC5E7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1512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56</cp:revision>
  <cp:lastPrinted>2024-07-02T12:11:00Z</cp:lastPrinted>
  <dcterms:created xsi:type="dcterms:W3CDTF">2024-03-19T18:03:00Z</dcterms:created>
  <dcterms:modified xsi:type="dcterms:W3CDTF">2024-09-05T14:19:00Z</dcterms:modified>
</cp:coreProperties>
</file>