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A05D4" w14:textId="0E3B1F79" w:rsidR="009D5124" w:rsidRPr="009D5124" w:rsidRDefault="006A61D5" w:rsidP="009D5124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9D5124">
        <w:rPr>
          <w:rFonts w:ascii="Times New Roman" w:hAnsi="Times New Roman" w:cs="Times New Roman"/>
        </w:rPr>
        <w:t xml:space="preserve">Ata da </w:t>
      </w:r>
      <w:r w:rsidR="0033533F" w:rsidRPr="009D5124">
        <w:rPr>
          <w:rFonts w:ascii="Times New Roman" w:hAnsi="Times New Roman" w:cs="Times New Roman"/>
        </w:rPr>
        <w:t>décima</w:t>
      </w:r>
      <w:r w:rsidRPr="009D5124">
        <w:rPr>
          <w:rFonts w:ascii="Times New Roman" w:hAnsi="Times New Roman" w:cs="Times New Roman"/>
        </w:rPr>
        <w:t xml:space="preserve"> </w:t>
      </w:r>
      <w:r w:rsidR="005D6FAA" w:rsidRPr="009D5124">
        <w:rPr>
          <w:rFonts w:ascii="Times New Roman" w:hAnsi="Times New Roman" w:cs="Times New Roman"/>
        </w:rPr>
        <w:t xml:space="preserve">sexta </w:t>
      </w:r>
      <w:r w:rsidRPr="009D5124">
        <w:rPr>
          <w:rFonts w:ascii="Times New Roman" w:hAnsi="Times New Roman" w:cs="Times New Roman"/>
        </w:rPr>
        <w:t xml:space="preserve">Reunião Conjunta da Comissão de Justiça, Redação e Pareceres e da Comissão de Finanças e Orçamento da Câmara Municipal de Vereadores de Renascença. Aos </w:t>
      </w:r>
      <w:r w:rsidR="005D6FAA" w:rsidRPr="009D5124">
        <w:rPr>
          <w:rFonts w:ascii="Times New Roman" w:hAnsi="Times New Roman" w:cs="Times New Roman"/>
        </w:rPr>
        <w:t>onze</w:t>
      </w:r>
      <w:r w:rsidRPr="009D5124">
        <w:rPr>
          <w:rFonts w:ascii="Times New Roman" w:hAnsi="Times New Roman" w:cs="Times New Roman"/>
        </w:rPr>
        <w:t xml:space="preserve"> dias do mês de </w:t>
      </w:r>
      <w:r w:rsidR="00EF3FFA" w:rsidRPr="009D5124">
        <w:rPr>
          <w:rFonts w:ascii="Times New Roman" w:hAnsi="Times New Roman" w:cs="Times New Roman"/>
        </w:rPr>
        <w:t>ju</w:t>
      </w:r>
      <w:r w:rsidR="00066F0C" w:rsidRPr="009D5124">
        <w:rPr>
          <w:rFonts w:ascii="Times New Roman" w:hAnsi="Times New Roman" w:cs="Times New Roman"/>
        </w:rPr>
        <w:t>l</w:t>
      </w:r>
      <w:r w:rsidR="00EF3FFA" w:rsidRPr="009D5124">
        <w:rPr>
          <w:rFonts w:ascii="Times New Roman" w:hAnsi="Times New Roman" w:cs="Times New Roman"/>
        </w:rPr>
        <w:t>ho</w:t>
      </w:r>
      <w:r w:rsidRPr="009D5124">
        <w:rPr>
          <w:rFonts w:ascii="Times New Roman" w:hAnsi="Times New Roman" w:cs="Times New Roman"/>
        </w:rPr>
        <w:t xml:space="preserve"> de 2024, junto ao Plenário da Câmara Municipal, reuniram-se</w:t>
      </w:r>
      <w:r w:rsidRPr="009D5124">
        <w:rPr>
          <w:rFonts w:ascii="Times New Roman" w:hAnsi="Times New Roman" w:cs="Times New Roman"/>
          <w:b/>
        </w:rPr>
        <w:t xml:space="preserve"> </w:t>
      </w:r>
      <w:r w:rsidRPr="009D5124">
        <w:rPr>
          <w:rFonts w:ascii="Times New Roman" w:hAnsi="Times New Roman" w:cs="Times New Roman"/>
        </w:rPr>
        <w:t xml:space="preserve">os vereadores para Reunião Conjunta das Comissões Permanentes de Justiça, Redação e Pareceres e de Finanças e Orçamento. </w:t>
      </w:r>
      <w:r w:rsidRPr="009D5124">
        <w:rPr>
          <w:rFonts w:ascii="Times New Roman" w:hAnsi="Times New Roman" w:cs="Times New Roman"/>
          <w:shd w:val="clear" w:color="auto" w:fill="FFFFFF"/>
        </w:rPr>
        <w:t xml:space="preserve">Pela Comissão de Justiça, Redação e Pareceres estiveram presentes os senhores: Vanderson Rodrigo Zanini, Presidente, Gilmar Schmidt, Vice-Presidente, e </w:t>
      </w:r>
      <w:proofErr w:type="spellStart"/>
      <w:r w:rsidRPr="009D5124">
        <w:rPr>
          <w:rFonts w:ascii="Times New Roman" w:hAnsi="Times New Roman" w:cs="Times New Roman"/>
          <w:shd w:val="clear" w:color="auto" w:fill="FFFFFF"/>
        </w:rPr>
        <w:t>Fabieli</w:t>
      </w:r>
      <w:proofErr w:type="spellEnd"/>
      <w:r w:rsidRPr="009D5124">
        <w:rPr>
          <w:rFonts w:ascii="Times New Roman" w:hAnsi="Times New Roman" w:cs="Times New Roman"/>
          <w:shd w:val="clear" w:color="auto" w:fill="FFFFFF"/>
        </w:rPr>
        <w:t xml:space="preserve"> Manfredi, 1ª Secretária. Pela Comissão de Finanças e Orçamento estiveram presentes os Senhores: </w:t>
      </w:r>
      <w:r w:rsidRPr="009D5124">
        <w:rPr>
          <w:rFonts w:ascii="Times New Roman" w:hAnsi="Times New Roman" w:cs="Times New Roman"/>
        </w:rPr>
        <w:t xml:space="preserve">Marcos </w:t>
      </w:r>
      <w:proofErr w:type="spellStart"/>
      <w:r w:rsidRPr="009D5124">
        <w:rPr>
          <w:rFonts w:ascii="Times New Roman" w:hAnsi="Times New Roman" w:cs="Times New Roman"/>
        </w:rPr>
        <w:t>Antonio</w:t>
      </w:r>
      <w:proofErr w:type="spellEnd"/>
      <w:r w:rsidRPr="009D5124">
        <w:rPr>
          <w:rFonts w:ascii="Times New Roman" w:hAnsi="Times New Roman" w:cs="Times New Roman"/>
        </w:rPr>
        <w:t xml:space="preserve"> </w:t>
      </w:r>
      <w:proofErr w:type="spellStart"/>
      <w:r w:rsidRPr="009D5124">
        <w:rPr>
          <w:rFonts w:ascii="Times New Roman" w:hAnsi="Times New Roman" w:cs="Times New Roman"/>
        </w:rPr>
        <w:t>Valandro</w:t>
      </w:r>
      <w:proofErr w:type="spellEnd"/>
      <w:r w:rsidRPr="009D5124">
        <w:rPr>
          <w:rFonts w:ascii="Times New Roman" w:hAnsi="Times New Roman" w:cs="Times New Roman"/>
        </w:rPr>
        <w:t xml:space="preserve">, Presidente, Jonas Maria de Oliveira, Vice-Presidente e Everson </w:t>
      </w:r>
      <w:proofErr w:type="spellStart"/>
      <w:r w:rsidRPr="009D5124">
        <w:rPr>
          <w:rFonts w:ascii="Times New Roman" w:hAnsi="Times New Roman" w:cs="Times New Roman"/>
        </w:rPr>
        <w:t>Antonio</w:t>
      </w:r>
      <w:proofErr w:type="spellEnd"/>
      <w:r w:rsidRPr="009D5124">
        <w:rPr>
          <w:rFonts w:ascii="Times New Roman" w:hAnsi="Times New Roman" w:cs="Times New Roman"/>
        </w:rPr>
        <w:t xml:space="preserve"> Tedesco, 1º Secretário. </w:t>
      </w:r>
      <w:r w:rsidRPr="009D5124">
        <w:rPr>
          <w:rFonts w:ascii="Times New Roman" w:hAnsi="Times New Roman" w:cs="Times New Roman"/>
          <w:shd w:val="clear" w:color="auto" w:fill="FFFFFF"/>
        </w:rPr>
        <w:t xml:space="preserve">Havendo número regimental, foi declarada aberta a reunião, a qual foi convocada com a finalidade de apreciar a seguinte </w:t>
      </w:r>
      <w:r w:rsidRPr="009D5124">
        <w:rPr>
          <w:rFonts w:ascii="Times New Roman" w:hAnsi="Times New Roman" w:cs="Times New Roman"/>
        </w:rPr>
        <w:t>proposição:</w:t>
      </w:r>
      <w:r w:rsidR="00487D8F" w:rsidRPr="009D5124">
        <w:rPr>
          <w:rFonts w:ascii="Times New Roman" w:hAnsi="Times New Roman" w:cs="Times New Roman"/>
        </w:rPr>
        <w:t xml:space="preserve"> </w:t>
      </w:r>
      <w:r w:rsidR="009D5124" w:rsidRPr="009D5124">
        <w:rPr>
          <w:rFonts w:ascii="Times New Roman" w:hAnsi="Times New Roman" w:cs="Times New Roman"/>
          <w:bCs/>
          <w:color w:val="000000" w:themeColor="text1"/>
        </w:rPr>
        <w:t xml:space="preserve">(a) Projeto de Lei n.º 020, de 20 de junho de 2024, que autoriza a desafetação e a doação com encargos de imóvel que especifica à Companhia de Saneamento do Paraná – SANEPAR e dá outras providências, com a Emenda Modificativa n.º 001/2024; (b) Projeto de Lei n.º 021, de 24 de junho de 2024, que dispõe sobre a extinção da Assessoria Técnica em Planejamento e da Assessoria Técnica em Administração, da estrutura do Poder Executivo Municipal dá outras providências; e c) Projeto de Lei n.º 022/2024, de 26 de junho de 2024, que autoriza o Executivo Municipal a abrir crédito adicional especial no valor de R$ 118.179,00 (cento e dezoito mil e cento e setenta e nove reais) no Plano Plurianual-PPA, na Lei de Diretrizes Orçamentárias-LDO, e na Lei Orçamentária </w:t>
      </w:r>
      <w:proofErr w:type="spellStart"/>
      <w:r w:rsidR="009D5124" w:rsidRPr="009D5124">
        <w:rPr>
          <w:rFonts w:ascii="Times New Roman" w:hAnsi="Times New Roman" w:cs="Times New Roman"/>
          <w:bCs/>
          <w:color w:val="000000" w:themeColor="text1"/>
        </w:rPr>
        <w:t>Anual-LOA</w:t>
      </w:r>
      <w:proofErr w:type="spellEnd"/>
      <w:r w:rsidR="009D5124" w:rsidRPr="009D5124">
        <w:rPr>
          <w:rFonts w:ascii="Times New Roman" w:hAnsi="Times New Roman" w:cs="Times New Roman"/>
          <w:bCs/>
          <w:color w:val="000000" w:themeColor="text1"/>
        </w:rPr>
        <w:t>, para o Exercício Financeiro de 2024. Em atenção ao que determina o Regimento Interno da Câmara Municipal, e com fundamento nos artigos 52 e 154 do Regimento Interno, o parecer foi emitido conjuntamente. Após análise, não havendo óbices de natureza constitucional, jurídica, regimental, técnica legislativa ou mesmo de ordem financeira e orçamentária, opinam as Comissões Permanentes favoráveis à admissibilidade e tramitação das proposições ora analisadas. Colocado em discussão e votação</w:t>
      </w:r>
      <w:r w:rsidR="009D5124" w:rsidRPr="009D5124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, foi aprovado o parecer por unanimidade, conforme fundamentação a seguir exposta: </w:t>
      </w:r>
      <w:r w:rsidR="009D5124" w:rsidRPr="009D5124">
        <w:rPr>
          <w:rFonts w:ascii="Times New Roman" w:hAnsi="Times New Roman" w:cs="Times New Roman"/>
          <w:b/>
          <w:color w:val="000000" w:themeColor="text1"/>
          <w:u w:val="single"/>
        </w:rPr>
        <w:t xml:space="preserve">Projeto de Lei n.º 020, de 20 de junho de 2024. Relatório: </w:t>
      </w:r>
      <w:r w:rsidR="009D5124" w:rsidRPr="009D5124">
        <w:rPr>
          <w:rFonts w:ascii="Times New Roman" w:hAnsi="Times New Roman" w:cs="Times New Roman"/>
          <w:color w:val="000000" w:themeColor="text1"/>
        </w:rPr>
        <w:t xml:space="preserve">De autoria do Chefe do Poder Executivo, o Projeto de Lei n.º 020, de 20 de junho de 2024 autoriza a desafetação e a doação com encargos de imóvel à Companhia de Saneamento do Paraná – SANEPAR.  Na Mensagem n.º 020, de 2024, que acompanha o projeto, esclarece o Prefeito Municipal que o projeto tem por objetivo promover a doação à Sanepar para ampliação da estação de esgoto, que acarretará relevante serviço social para a população do Município de Renascença. Ainda, esclarece que por se tratar de uma doação com encargos e com cláusula de reversão, não se aplica a vedação eleitoral contida no §10 do art. 73 da Lei Federal nº 9.504/97. É o relatório. </w:t>
      </w:r>
      <w:r w:rsidR="009D5124" w:rsidRPr="009D5124">
        <w:rPr>
          <w:rFonts w:ascii="Times New Roman" w:hAnsi="Times New Roman" w:cs="Times New Roman"/>
          <w:b/>
          <w:color w:val="000000" w:themeColor="text1"/>
        </w:rPr>
        <w:t xml:space="preserve">Análise da matéria: </w:t>
      </w:r>
      <w:r w:rsidR="009D5124" w:rsidRPr="009D5124">
        <w:rPr>
          <w:rFonts w:ascii="Times New Roman" w:hAnsi="Times New Roman" w:cs="Times New Roman"/>
          <w:color w:val="000000" w:themeColor="text1"/>
        </w:rPr>
        <w:t xml:space="preserve">A proposição é de autoria do Chefe do Poder Executivo, ao qual cabe a iniciativa privativa da matéria, conforme previsão contida no artigo 166 da Lei Orgânica Municipal. No tocante ao conteúdo da proposta, verificamos que o projeto é dotado de interesse público, eis que a doação visa ampliação da Estação de Tratamento de Esgoto Calcanhar – ETE Calcanhar. Os requisitos dispostos na legislação necessários à doação de imóveis foram previamente atendidos pela Administração, eis que a área está sendo desafetada, foi devidamente avaliada e a licitação é dispensada face ao interesse público. Ainda, constam do projeto os encargos da donatária (art. 2º) e a cláusula de reversão (art. 3º), sendo que o descumprimento de quaisquer obrigações implicará na restituição do imóvel, sem direito a indenização por benfeitorias realizadas. Em relação ao prazo de cumprimento dos encargos, </w:t>
      </w:r>
      <w:r w:rsidR="009D5124" w:rsidRPr="009D5124">
        <w:rPr>
          <w:rFonts w:ascii="Times New Roman" w:hAnsi="Times New Roman" w:cs="Times New Roman"/>
          <w:color w:val="000000" w:themeColor="text1"/>
        </w:rPr>
        <w:lastRenderedPageBreak/>
        <w:t xml:space="preserve">este foi objeto de emenda. Diante disso, constatando-se a regularidade da proposição, não havendo óbice de natureza constitucional, legal ou de ordem orçamentário-financeira, concluímos que ao projeto está apto à aprovação pelo Plenário. </w:t>
      </w:r>
      <w:r w:rsidR="009D5124" w:rsidRPr="009D5124">
        <w:rPr>
          <w:rFonts w:ascii="Times New Roman" w:hAnsi="Times New Roman" w:cs="Times New Roman"/>
          <w:b/>
          <w:color w:val="000000" w:themeColor="text1"/>
        </w:rPr>
        <w:t xml:space="preserve">Emenda Modificativa n.º 001/2024 ao Projeto de Lei n.º </w:t>
      </w:r>
      <w:proofErr w:type="gramStart"/>
      <w:r w:rsidR="009D5124" w:rsidRPr="009D5124">
        <w:rPr>
          <w:rFonts w:ascii="Times New Roman" w:hAnsi="Times New Roman" w:cs="Times New Roman"/>
          <w:b/>
          <w:color w:val="000000" w:themeColor="text1"/>
        </w:rPr>
        <w:t>020,  de</w:t>
      </w:r>
      <w:proofErr w:type="gramEnd"/>
      <w:r w:rsidR="009D5124" w:rsidRPr="009D5124">
        <w:rPr>
          <w:rFonts w:ascii="Times New Roman" w:hAnsi="Times New Roman" w:cs="Times New Roman"/>
          <w:b/>
          <w:color w:val="000000" w:themeColor="text1"/>
        </w:rPr>
        <w:t xml:space="preserve"> 20 de junho de 2024</w:t>
      </w:r>
      <w:r w:rsidR="009D5124" w:rsidRPr="009D5124">
        <w:rPr>
          <w:rFonts w:ascii="Times New Roman" w:hAnsi="Times New Roman" w:cs="Times New Roman"/>
          <w:color w:val="000000" w:themeColor="text1"/>
        </w:rPr>
        <w:t xml:space="preserve">. De autoria da Comissão de Justiça, Redação e Pareceres, a emenda tem a finalidade de incluir o prazo de 18 (dezoito) meses para cumprimento dos encargos por parte da donatária, em atenção ao previsto no artigo 167, I, “a”, da Lei Orgânica c/c com o §6º do art. 76 da Lei nº 14.133, de 1º de abril de 2021. Desta forma, merece aprovação à emenda. </w:t>
      </w:r>
      <w:r w:rsidR="009D5124" w:rsidRPr="009D5124">
        <w:rPr>
          <w:rFonts w:ascii="Times New Roman" w:hAnsi="Times New Roman" w:cs="Times New Roman"/>
          <w:b/>
          <w:color w:val="000000" w:themeColor="text1"/>
        </w:rPr>
        <w:t>Decisão das Comissões:</w:t>
      </w:r>
      <w:r w:rsidR="009D5124" w:rsidRPr="009D5124">
        <w:rPr>
          <w:rFonts w:ascii="Times New Roman" w:hAnsi="Times New Roman" w:cs="Times New Roman"/>
          <w:color w:val="000000" w:themeColor="text1"/>
        </w:rPr>
        <w:t xml:space="preserve"> Diante do exposto, opinam as Comissões Permanentes favoravelmente à tramitação do Projeto de Lei n.º 020, de 20 de junho de 20024 e a Emenda Modificativa n.º 001/2024. </w:t>
      </w:r>
      <w:r w:rsidR="009D5124" w:rsidRPr="009D5124">
        <w:rPr>
          <w:rFonts w:ascii="Times New Roman" w:hAnsi="Times New Roman" w:cs="Times New Roman"/>
          <w:b/>
          <w:color w:val="000000" w:themeColor="text1"/>
          <w:u w:val="single"/>
        </w:rPr>
        <w:t>Projeto de Lei n.º 021, de 24 de junho de 2024</w:t>
      </w:r>
      <w:r w:rsidR="009D5124" w:rsidRPr="009D5124">
        <w:rPr>
          <w:rFonts w:ascii="Times New Roman" w:hAnsi="Times New Roman" w:cs="Times New Roman"/>
          <w:b/>
          <w:color w:val="000000" w:themeColor="text1"/>
        </w:rPr>
        <w:t xml:space="preserve">. Relatório: </w:t>
      </w:r>
      <w:r w:rsidR="009D5124" w:rsidRPr="009D5124">
        <w:rPr>
          <w:rFonts w:ascii="Times New Roman" w:hAnsi="Times New Roman" w:cs="Times New Roman"/>
          <w:color w:val="000000" w:themeColor="text1"/>
        </w:rPr>
        <w:t xml:space="preserve">De autoria do Chefe do Poder Executivo, o Projeto de Lei n.º 021, de 24 de junho de 2024, dispõe sobre a extinção da Assessoria Técnica em Planejamento e da Assessoria Técnica em Administração, da estrutura do Poder Executivo Municipal dá outras providências. Na Mensagem n.º 021, de 2024, que acompanha o projeto, justifica o Prefeito Municipal que: “Trata-se de uma medida que tem por objetivo pensar na economicidade e também na adequação da Estrutura Administrativa, considerando que os cargos de Assessor Técnico em Planejamento (CC-17) e Assessor Técnica em Administração (CC-17) jamais foram ocupados”. É o relatório. </w:t>
      </w:r>
      <w:r w:rsidR="009D5124" w:rsidRPr="009D5124">
        <w:rPr>
          <w:rFonts w:ascii="Times New Roman" w:hAnsi="Times New Roman" w:cs="Times New Roman"/>
          <w:b/>
          <w:color w:val="000000" w:themeColor="text1"/>
        </w:rPr>
        <w:t xml:space="preserve">Análise da matéria: </w:t>
      </w:r>
      <w:r w:rsidR="009D5124" w:rsidRPr="009D5124">
        <w:rPr>
          <w:rFonts w:ascii="Times New Roman" w:hAnsi="Times New Roman" w:cs="Times New Roman"/>
          <w:color w:val="000000" w:themeColor="text1"/>
        </w:rPr>
        <w:t xml:space="preserve">A proposição é de autoria do Chefe do Poder Executivo Municipal, ao qual compete a iniciativa privativa de proposições relacionadas à criação e extinção de órgãos e/ou cargos da Administração Pública, conforme disciplina o artigo 84 da Constituição Federal e o artigo 57 da Lei Orgânica municipal. Em relação ao mérito, verificamos que o projeto busca extinguir da estrutura administrativa da Prefeitura Municipal os órgãos de Assessoria Técnica em Planejamento e a Assessoria Técnica em Administração, integrantes do gabinete do Prefeito e os respectivos cargos de Assessor Técnico em Planejamento (CC-17) e Assessor Técnico em Administração (CC-17), revogando os incisos IV e V doa artigo 6º, artigo 10 e 11, da Lei 1.098, de 09 de dezembro de 2009. Cuida-se de um ato de discricionariedade do gestor público, o qual justifica que a medida visa economicidade e adequação da estrutura administrativa. Desse modo, após análise detida do projeto, não encontramos nenhum óbice de natureza constitucional ou legal, tampouco de ordem orçamentário-financeira. </w:t>
      </w:r>
      <w:r w:rsidR="009D5124" w:rsidRPr="009D5124">
        <w:rPr>
          <w:rFonts w:ascii="Times New Roman" w:hAnsi="Times New Roman" w:cs="Times New Roman"/>
          <w:b/>
          <w:color w:val="000000" w:themeColor="text1"/>
        </w:rPr>
        <w:t>Decisão das Comissões:</w:t>
      </w:r>
      <w:r w:rsidR="009D5124" w:rsidRPr="009D5124">
        <w:rPr>
          <w:rFonts w:ascii="Times New Roman" w:hAnsi="Times New Roman" w:cs="Times New Roman"/>
          <w:color w:val="000000" w:themeColor="text1"/>
        </w:rPr>
        <w:t xml:space="preserve"> Diante do exposto, opinam as Comissões Permanentes favoravelmente à tramitação do Projeto de Lei n.º 021, de 24 de junho de 2024. </w:t>
      </w:r>
      <w:r w:rsidR="009D5124" w:rsidRPr="009D5124">
        <w:rPr>
          <w:rFonts w:ascii="Times New Roman" w:hAnsi="Times New Roman" w:cs="Times New Roman"/>
          <w:b/>
          <w:color w:val="000000" w:themeColor="text1"/>
          <w:u w:val="single"/>
        </w:rPr>
        <w:t>Projeto de Lei n.º 022/2024, de 26 de junho de 2024.</w:t>
      </w:r>
      <w:r w:rsidR="009D5124" w:rsidRPr="009D5124">
        <w:rPr>
          <w:rFonts w:ascii="Times New Roman" w:hAnsi="Times New Roman" w:cs="Times New Roman"/>
          <w:b/>
          <w:color w:val="000000" w:themeColor="text1"/>
        </w:rPr>
        <w:t xml:space="preserve"> Relatório: </w:t>
      </w:r>
      <w:r w:rsidR="009D5124" w:rsidRPr="009D5124">
        <w:rPr>
          <w:rFonts w:ascii="Times New Roman" w:hAnsi="Times New Roman" w:cs="Times New Roman"/>
          <w:color w:val="000000" w:themeColor="text1"/>
        </w:rPr>
        <w:t>De autoria do Chefe do Poder Executivo,</w:t>
      </w:r>
      <w:r w:rsidR="009D5124" w:rsidRPr="009D512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D5124" w:rsidRPr="009D5124">
        <w:rPr>
          <w:rFonts w:ascii="Times New Roman" w:hAnsi="Times New Roman" w:cs="Times New Roman"/>
          <w:color w:val="000000" w:themeColor="text1"/>
        </w:rPr>
        <w:t xml:space="preserve">o Projeto de Lei n.º 022/2024, de 26 de junho de 2024, solicita autorização desta Casa de Leis para abrir um crédito adicional especial em favor da Secretaria Municipal de Educação, Cultura e Esporte, no valor de R$ 118.179,00 (cento e dezoito mil e cento e setenta e nove reais). Na Mensagem n.º 022/2024, que acompanha o projeto, justifica o Chefe do Poder Executivo que o projeto tem a finalidade criar dotações orçamentárias não existentes no orçamento para 2024, referentes à Fonte 1063 – transferência da Política Nacional Aldir Blanc de fomento à cultura (Lei n.º 14.399/2022). É o relatório. </w:t>
      </w:r>
      <w:r w:rsidR="009D5124" w:rsidRPr="009D5124">
        <w:rPr>
          <w:rFonts w:ascii="Times New Roman" w:hAnsi="Times New Roman" w:cs="Times New Roman"/>
          <w:b/>
          <w:color w:val="000000" w:themeColor="text1"/>
        </w:rPr>
        <w:t xml:space="preserve">Análise da matéria: </w:t>
      </w:r>
      <w:r w:rsidR="009D5124" w:rsidRPr="009D5124">
        <w:rPr>
          <w:rFonts w:ascii="Times New Roman" w:hAnsi="Times New Roman" w:cs="Times New Roman"/>
          <w:color w:val="000000" w:themeColor="text1"/>
        </w:rPr>
        <w:t xml:space="preserve">Do exame da proposição, verifica-se que a iniciativa do Poder Executivo está articulada de acordo com o que determina a Constituição Federal (art. 165) e a Lei Orgânica municipal (art. 139), cabendo a ele a iniciativa do Projeto de Lei. A proposta visa criar dotações orçamentárias especificas na Lei Orçamentária de 2024, no valor de R$ 118.179,00 (cento e dezoito mil e cento e setenta </w:t>
      </w:r>
      <w:r w:rsidR="009D5124" w:rsidRPr="009D5124">
        <w:rPr>
          <w:rFonts w:ascii="Times New Roman" w:hAnsi="Times New Roman" w:cs="Times New Roman"/>
          <w:color w:val="000000" w:themeColor="text1"/>
        </w:rPr>
        <w:lastRenderedPageBreak/>
        <w:t xml:space="preserve">e nove reais), em favor da Secretaria Municipal de Educação, Cultura e Esportes, cujos valores são oriundos de repasse da transferência da Política Nacional Aldir Blanc de Fomento à Cultura – Lei n.º 14.399/2022 e remanejamento de valores para a Fonte 1063. A Lei n.º 4.320, de 1964 define quais são os tipos de créditos adicionais, sendo o crédito adicional especial previsto no Inciso II do art. 47, que assim se expressa: “Art. 41. Os créditos adicionais classificam-se em: (...) II - especiais, os destinados a despesas para as quais não haja dotação orçamentária específica;”. Na mesma esteira, a Lei n.º 4.320, de 1964 exige que sejam indicados os recursos para coberturas das despesas. Em consonância com </w:t>
      </w:r>
      <w:r w:rsidR="009D5124" w:rsidRPr="009D5124">
        <w:rPr>
          <w:rFonts w:ascii="Times New Roman" w:hAnsi="Times New Roman" w:cs="Times New Roman"/>
        </w:rPr>
        <w:t>a determinação do art. 43 da Lei nº 4.320/1964, os recursos para a contrapartida do projeto estão previstos no art. 2º e serão decorrentes do excesso de arrecadação e da redução parcial de dotações orçamentárias especificadas. Assim</w:t>
      </w:r>
      <w:r w:rsidR="009D5124" w:rsidRPr="009D5124">
        <w:rPr>
          <w:rFonts w:ascii="Times New Roman" w:hAnsi="Times New Roman" w:cs="Times New Roman"/>
          <w:color w:val="000000" w:themeColor="text1"/>
        </w:rPr>
        <w:t>, pautado nos dispositivos legais que são exigidos pela Lei n.º 4.320, de 1964 e pela Constituição Federal, no que tange aos seus aspectos constitucionais, legais, orçamentários e financeiros que norteiam nosso parecer, não encontramos quaisquer impedimentos à tramitação do Projeto de Lei n.º 022, de 2024, do Executivo Municipal.</w:t>
      </w:r>
      <w:r w:rsidR="009D5124" w:rsidRPr="009D5124">
        <w:rPr>
          <w:rFonts w:ascii="Times New Roman" w:hAnsi="Times New Roman" w:cs="Times New Roman"/>
          <w:b/>
          <w:color w:val="000000" w:themeColor="text1"/>
        </w:rPr>
        <w:t xml:space="preserve"> Decisão das Comissões:</w:t>
      </w:r>
      <w:r w:rsidR="009D5124" w:rsidRPr="009D5124">
        <w:rPr>
          <w:rFonts w:ascii="Times New Roman" w:hAnsi="Times New Roman" w:cs="Times New Roman"/>
          <w:color w:val="000000" w:themeColor="text1"/>
        </w:rPr>
        <w:t xml:space="preserve"> Diante do exposto, opinam as Comissões Permanentes favoravelmente à tramitação do Projeto de Lei n.º 022/2024, de 26 de junho de 2024, podendo seguir à deliberação do Plenário. </w:t>
      </w:r>
    </w:p>
    <w:p w14:paraId="13F65940" w14:textId="77777777" w:rsidR="005D6FAA" w:rsidRPr="009D5124" w:rsidRDefault="005D6FAA" w:rsidP="004231D4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Times New Roman" w:hAnsi="Times New Roman" w:cs="Times New Roman"/>
        </w:rPr>
      </w:pPr>
    </w:p>
    <w:p w14:paraId="28BF7496" w14:textId="77777777" w:rsidR="005D6FAA" w:rsidRPr="009D5124" w:rsidRDefault="005D6FAA" w:rsidP="004231D4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173A6A56" w14:textId="77777777" w:rsidR="00066F0C" w:rsidRPr="009D5124" w:rsidRDefault="00066F0C" w:rsidP="00066F0C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14:paraId="7D9D2715" w14:textId="77777777" w:rsidR="00066F0C" w:rsidRPr="009D5124" w:rsidRDefault="00066F0C" w:rsidP="006F3BB1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5F63CD4E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>______________________________            ______________________________</w:t>
      </w:r>
    </w:p>
    <w:p w14:paraId="12C8214D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>Vanderson R. Zanini                                       Gilmar Schmidt</w:t>
      </w:r>
    </w:p>
    <w:p w14:paraId="295C8C41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5E7D64FD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>______________________________</w:t>
      </w:r>
    </w:p>
    <w:p w14:paraId="0B9833C7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proofErr w:type="spellStart"/>
      <w:r w:rsidRPr="009D5124">
        <w:rPr>
          <w:rFonts w:ascii="Times New Roman" w:hAnsi="Times New Roman" w:cs="Times New Roman"/>
          <w:shd w:val="clear" w:color="auto" w:fill="FFFFFF"/>
        </w:rPr>
        <w:t>Fabieli</w:t>
      </w:r>
      <w:proofErr w:type="spellEnd"/>
      <w:r w:rsidRPr="009D5124">
        <w:rPr>
          <w:rFonts w:ascii="Times New Roman" w:hAnsi="Times New Roman" w:cs="Times New Roman"/>
          <w:shd w:val="clear" w:color="auto" w:fill="FFFFFF"/>
        </w:rPr>
        <w:t xml:space="preserve"> Manfredi</w:t>
      </w:r>
    </w:p>
    <w:p w14:paraId="6907020D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</w:p>
    <w:p w14:paraId="4CE6A5BB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</w:p>
    <w:p w14:paraId="4770DE2F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>______________________________            ______________________________</w:t>
      </w:r>
    </w:p>
    <w:p w14:paraId="50089674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 xml:space="preserve">Marcos A. </w:t>
      </w:r>
      <w:proofErr w:type="spellStart"/>
      <w:r w:rsidRPr="009D5124">
        <w:rPr>
          <w:rFonts w:ascii="Times New Roman" w:hAnsi="Times New Roman" w:cs="Times New Roman"/>
          <w:shd w:val="clear" w:color="auto" w:fill="FFFFFF"/>
        </w:rPr>
        <w:t>Valandro</w:t>
      </w:r>
      <w:proofErr w:type="spellEnd"/>
      <w:r w:rsidRPr="009D5124">
        <w:rPr>
          <w:rFonts w:ascii="Times New Roman" w:hAnsi="Times New Roman" w:cs="Times New Roman"/>
          <w:shd w:val="clear" w:color="auto" w:fill="FFFFFF"/>
        </w:rPr>
        <w:t xml:space="preserve">                                      Jonas M. de Oliveira</w:t>
      </w:r>
    </w:p>
    <w:p w14:paraId="7480B0C3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</w:p>
    <w:p w14:paraId="05A5017A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>______________________________</w:t>
      </w:r>
    </w:p>
    <w:p w14:paraId="26364C6F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>Everson A. Tedesco</w:t>
      </w:r>
    </w:p>
    <w:p w14:paraId="32C76B05" w14:textId="77777777" w:rsidR="006F3BB1" w:rsidRPr="009D5124" w:rsidRDefault="006F3BB1" w:rsidP="006F3BB1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59EB97FE" w14:textId="77777777" w:rsidR="006F3BB1" w:rsidRPr="009D5124" w:rsidRDefault="006F3BB1" w:rsidP="006F3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sectPr w:rsidR="006F3BB1" w:rsidRPr="009D5124" w:rsidSect="00E237B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6C953" w14:textId="77777777" w:rsidR="00730E1B" w:rsidRDefault="00730E1B" w:rsidP="000D6C47">
      <w:pPr>
        <w:spacing w:after="0" w:line="240" w:lineRule="auto"/>
      </w:pPr>
      <w:r>
        <w:separator/>
      </w:r>
    </w:p>
  </w:endnote>
  <w:endnote w:type="continuationSeparator" w:id="0">
    <w:p w14:paraId="03412D8C" w14:textId="77777777" w:rsidR="00730E1B" w:rsidRDefault="00730E1B" w:rsidP="000D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11598" w14:textId="77777777" w:rsidR="00730E1B" w:rsidRDefault="00730E1B" w:rsidP="000D6C47">
      <w:pPr>
        <w:spacing w:after="0" w:line="240" w:lineRule="auto"/>
      </w:pPr>
      <w:r>
        <w:separator/>
      </w:r>
    </w:p>
  </w:footnote>
  <w:footnote w:type="continuationSeparator" w:id="0">
    <w:p w14:paraId="6D8203E0" w14:textId="77777777" w:rsidR="00730E1B" w:rsidRDefault="00730E1B" w:rsidP="000D6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5A849" w14:textId="77777777" w:rsidR="000D6C47" w:rsidRDefault="000D6C47">
    <w:pPr>
      <w:pStyle w:val="Cabealho"/>
    </w:pPr>
    <w:r>
      <w:rPr>
        <w:noProof/>
        <w:lang w:eastAsia="pt-BR"/>
      </w:rPr>
      <w:drawing>
        <wp:inline distT="0" distB="0" distL="0" distR="0" wp14:anchorId="31E951A4" wp14:editId="5EEDE19C">
          <wp:extent cx="5400040" cy="8566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618"/>
    <w:rsid w:val="000146A3"/>
    <w:rsid w:val="00021238"/>
    <w:rsid w:val="00051FFE"/>
    <w:rsid w:val="00066F0C"/>
    <w:rsid w:val="00085073"/>
    <w:rsid w:val="000B20FC"/>
    <w:rsid w:val="000B3F8D"/>
    <w:rsid w:val="000D6C47"/>
    <w:rsid w:val="001379E9"/>
    <w:rsid w:val="00194ACF"/>
    <w:rsid w:val="00197052"/>
    <w:rsid w:val="001B520C"/>
    <w:rsid w:val="00204B9C"/>
    <w:rsid w:val="00254099"/>
    <w:rsid w:val="002A240C"/>
    <w:rsid w:val="00305B7B"/>
    <w:rsid w:val="0033533F"/>
    <w:rsid w:val="003C1001"/>
    <w:rsid w:val="003E76AC"/>
    <w:rsid w:val="004231D4"/>
    <w:rsid w:val="00454DD9"/>
    <w:rsid w:val="00470131"/>
    <w:rsid w:val="00487D8F"/>
    <w:rsid w:val="004A2A44"/>
    <w:rsid w:val="004B3CD0"/>
    <w:rsid w:val="004F0199"/>
    <w:rsid w:val="00511A7F"/>
    <w:rsid w:val="00525189"/>
    <w:rsid w:val="00540392"/>
    <w:rsid w:val="0054222B"/>
    <w:rsid w:val="00554E5C"/>
    <w:rsid w:val="00587338"/>
    <w:rsid w:val="005B7166"/>
    <w:rsid w:val="005D6FAA"/>
    <w:rsid w:val="005E7030"/>
    <w:rsid w:val="005F5037"/>
    <w:rsid w:val="0060271D"/>
    <w:rsid w:val="006402BD"/>
    <w:rsid w:val="00644E78"/>
    <w:rsid w:val="006A61D5"/>
    <w:rsid w:val="006B2A84"/>
    <w:rsid w:val="006C6F4B"/>
    <w:rsid w:val="006D5561"/>
    <w:rsid w:val="006F3BB1"/>
    <w:rsid w:val="00701B4A"/>
    <w:rsid w:val="00702A3C"/>
    <w:rsid w:val="00730E1B"/>
    <w:rsid w:val="00762851"/>
    <w:rsid w:val="007A041A"/>
    <w:rsid w:val="00855321"/>
    <w:rsid w:val="00863BB7"/>
    <w:rsid w:val="008C5DD1"/>
    <w:rsid w:val="009210FC"/>
    <w:rsid w:val="00936F21"/>
    <w:rsid w:val="00947F1F"/>
    <w:rsid w:val="00981618"/>
    <w:rsid w:val="00981724"/>
    <w:rsid w:val="009D5124"/>
    <w:rsid w:val="009F5851"/>
    <w:rsid w:val="00A54603"/>
    <w:rsid w:val="00A71E00"/>
    <w:rsid w:val="00A73443"/>
    <w:rsid w:val="00A911DD"/>
    <w:rsid w:val="00A958C9"/>
    <w:rsid w:val="00AA6B16"/>
    <w:rsid w:val="00AB37A6"/>
    <w:rsid w:val="00AE4FBE"/>
    <w:rsid w:val="00B13030"/>
    <w:rsid w:val="00B50AC0"/>
    <w:rsid w:val="00B7708B"/>
    <w:rsid w:val="00BA0DC8"/>
    <w:rsid w:val="00BD74AE"/>
    <w:rsid w:val="00C149AE"/>
    <w:rsid w:val="00C6352D"/>
    <w:rsid w:val="00D36DE6"/>
    <w:rsid w:val="00D437C9"/>
    <w:rsid w:val="00D46CB4"/>
    <w:rsid w:val="00D91722"/>
    <w:rsid w:val="00DA1ACB"/>
    <w:rsid w:val="00E237B5"/>
    <w:rsid w:val="00E30A63"/>
    <w:rsid w:val="00E56205"/>
    <w:rsid w:val="00E56CD9"/>
    <w:rsid w:val="00E814E0"/>
    <w:rsid w:val="00EF3FFA"/>
    <w:rsid w:val="00F02E7C"/>
    <w:rsid w:val="00F24DF8"/>
    <w:rsid w:val="00F45123"/>
    <w:rsid w:val="00F76595"/>
    <w:rsid w:val="00F85DB2"/>
    <w:rsid w:val="00F91BA2"/>
    <w:rsid w:val="00FA2853"/>
    <w:rsid w:val="00FB5EE0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2BF63"/>
  <w15:docId w15:val="{0C7D936A-5233-49E8-827B-2BC1C216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6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6C47"/>
  </w:style>
  <w:style w:type="paragraph" w:styleId="Rodap">
    <w:name w:val="footer"/>
    <w:basedOn w:val="Normal"/>
    <w:link w:val="Rodap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D6C47"/>
  </w:style>
  <w:style w:type="paragraph" w:styleId="Textodebalo">
    <w:name w:val="Balloon Text"/>
    <w:basedOn w:val="Normal"/>
    <w:link w:val="TextodebaloChar"/>
    <w:uiPriority w:val="99"/>
    <w:semiHidden/>
    <w:unhideWhenUsed/>
    <w:rsid w:val="000D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C4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F02E7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02E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1501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51</cp:revision>
  <cp:lastPrinted>2024-07-02T12:11:00Z</cp:lastPrinted>
  <dcterms:created xsi:type="dcterms:W3CDTF">2024-03-19T18:03:00Z</dcterms:created>
  <dcterms:modified xsi:type="dcterms:W3CDTF">2024-07-16T12:53:00Z</dcterms:modified>
</cp:coreProperties>
</file>