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32" w:rsidRPr="00BE5F32" w:rsidRDefault="006900F6" w:rsidP="00BE5F32">
      <w:pPr>
        <w:spacing w:after="0" w:line="30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BE5F32">
        <w:rPr>
          <w:rFonts w:ascii="Times New Roman" w:hAnsi="Times New Roman" w:cs="Times New Roman"/>
          <w:color w:val="000000"/>
        </w:rPr>
        <w:t xml:space="preserve">Ata da </w:t>
      </w:r>
      <w:r w:rsidR="00976110" w:rsidRPr="00BE5F32">
        <w:rPr>
          <w:rFonts w:ascii="Times New Roman" w:hAnsi="Times New Roman" w:cs="Times New Roman"/>
          <w:color w:val="000000"/>
        </w:rPr>
        <w:t>vigésima</w:t>
      </w:r>
      <w:r w:rsidR="004B063B">
        <w:rPr>
          <w:rFonts w:ascii="Times New Roman" w:hAnsi="Times New Roman" w:cs="Times New Roman"/>
          <w:color w:val="000000"/>
        </w:rPr>
        <w:t xml:space="preserve"> quarta</w:t>
      </w:r>
      <w:r w:rsidR="00FD385F" w:rsidRPr="00BE5F32">
        <w:rPr>
          <w:rFonts w:ascii="Times New Roman" w:hAnsi="Times New Roman" w:cs="Times New Roman"/>
          <w:color w:val="000000"/>
        </w:rPr>
        <w:t xml:space="preserve"> </w:t>
      </w:r>
      <w:r w:rsidRPr="00BE5F32">
        <w:rPr>
          <w:rFonts w:ascii="Times New Roman" w:hAnsi="Times New Roman" w:cs="Times New Roman"/>
          <w:color w:val="000000"/>
        </w:rPr>
        <w:t>reunião da C</w:t>
      </w:r>
      <w:r w:rsidR="0087439A" w:rsidRPr="00BE5F32">
        <w:rPr>
          <w:rFonts w:ascii="Times New Roman" w:hAnsi="Times New Roman" w:cs="Times New Roman"/>
          <w:color w:val="000000"/>
        </w:rPr>
        <w:t xml:space="preserve">omissão de Finanças e Orçamento </w:t>
      </w:r>
      <w:r w:rsidRPr="00BE5F32">
        <w:rPr>
          <w:rFonts w:ascii="Times New Roman" w:hAnsi="Times New Roman" w:cs="Times New Roman"/>
          <w:color w:val="000000"/>
        </w:rPr>
        <w:t xml:space="preserve">da Câmara Municipal de </w:t>
      </w:r>
      <w:r w:rsidR="00305317" w:rsidRPr="00BE5F32">
        <w:rPr>
          <w:rFonts w:ascii="Times New Roman" w:hAnsi="Times New Roman" w:cs="Times New Roman"/>
          <w:color w:val="000000"/>
        </w:rPr>
        <w:t xml:space="preserve">Vereadores de Renascença. </w:t>
      </w:r>
      <w:r w:rsidR="00B03AFB" w:rsidRPr="00BE5F32">
        <w:rPr>
          <w:rFonts w:ascii="Times New Roman" w:hAnsi="Times New Roman" w:cs="Times New Roman"/>
          <w:color w:val="000000"/>
        </w:rPr>
        <w:t>Ao</w:t>
      </w:r>
      <w:r w:rsidR="00D16F85" w:rsidRPr="00BE5F32">
        <w:rPr>
          <w:rFonts w:ascii="Times New Roman" w:hAnsi="Times New Roman" w:cs="Times New Roman"/>
          <w:color w:val="000000"/>
        </w:rPr>
        <w:t>s</w:t>
      </w:r>
      <w:r w:rsidR="00B03AFB" w:rsidRPr="00BE5F32">
        <w:rPr>
          <w:rFonts w:ascii="Times New Roman" w:hAnsi="Times New Roman" w:cs="Times New Roman"/>
          <w:color w:val="000000"/>
        </w:rPr>
        <w:t xml:space="preserve"> </w:t>
      </w:r>
      <w:r w:rsidR="00BE5F32" w:rsidRPr="00BE5F32">
        <w:rPr>
          <w:rFonts w:ascii="Times New Roman" w:hAnsi="Times New Roman" w:cs="Times New Roman"/>
          <w:color w:val="000000"/>
        </w:rPr>
        <w:t xml:space="preserve">nove </w:t>
      </w:r>
      <w:r w:rsidR="0022654D" w:rsidRPr="00BE5F32">
        <w:rPr>
          <w:rFonts w:ascii="Times New Roman" w:hAnsi="Times New Roman" w:cs="Times New Roman"/>
          <w:color w:val="000000"/>
        </w:rPr>
        <w:t>dia</w:t>
      </w:r>
      <w:r w:rsidR="00D16F85" w:rsidRPr="00BE5F32">
        <w:rPr>
          <w:rFonts w:ascii="Times New Roman" w:hAnsi="Times New Roman" w:cs="Times New Roman"/>
          <w:color w:val="000000"/>
        </w:rPr>
        <w:t>s</w:t>
      </w:r>
      <w:r w:rsidR="00B2527F" w:rsidRPr="00BE5F32">
        <w:rPr>
          <w:rFonts w:ascii="Times New Roman" w:hAnsi="Times New Roman" w:cs="Times New Roman"/>
          <w:color w:val="000000"/>
        </w:rPr>
        <w:t xml:space="preserve"> </w:t>
      </w:r>
      <w:r w:rsidRPr="00BE5F32">
        <w:rPr>
          <w:rFonts w:ascii="Times New Roman" w:hAnsi="Times New Roman" w:cs="Times New Roman"/>
          <w:color w:val="000000"/>
        </w:rPr>
        <w:t xml:space="preserve">do mês de </w:t>
      </w:r>
      <w:r w:rsidR="00BE5F32" w:rsidRPr="00BE5F32">
        <w:rPr>
          <w:rFonts w:ascii="Times New Roman" w:hAnsi="Times New Roman" w:cs="Times New Roman"/>
          <w:color w:val="000000"/>
        </w:rPr>
        <w:t>novembro</w:t>
      </w:r>
      <w:r w:rsidR="00277E37" w:rsidRPr="00BE5F32">
        <w:rPr>
          <w:rFonts w:ascii="Times New Roman" w:hAnsi="Times New Roman" w:cs="Times New Roman"/>
          <w:color w:val="000000"/>
        </w:rPr>
        <w:t xml:space="preserve"> </w:t>
      </w:r>
      <w:r w:rsidR="008941D2" w:rsidRPr="00BE5F32">
        <w:rPr>
          <w:rFonts w:ascii="Times New Roman" w:hAnsi="Times New Roman" w:cs="Times New Roman"/>
          <w:color w:val="000000"/>
        </w:rPr>
        <w:t>de 2023</w:t>
      </w:r>
      <w:r w:rsidRPr="00BE5F32">
        <w:rPr>
          <w:rFonts w:ascii="Times New Roman" w:hAnsi="Times New Roman" w:cs="Times New Roman"/>
          <w:color w:val="000000"/>
        </w:rPr>
        <w:t xml:space="preserve">, junto ao Plenário da Câmara Municipal, reuniram-se os Vereadores: </w:t>
      </w:r>
      <w:r w:rsidR="00FA181D" w:rsidRPr="00BE5F32">
        <w:rPr>
          <w:rFonts w:ascii="Times New Roman" w:hAnsi="Times New Roman" w:cs="Times New Roman"/>
          <w:color w:val="000000"/>
        </w:rPr>
        <w:t xml:space="preserve">Marcos Antônio </w:t>
      </w:r>
      <w:proofErr w:type="spellStart"/>
      <w:r w:rsidR="00FA181D" w:rsidRPr="00BE5F32">
        <w:rPr>
          <w:rFonts w:ascii="Times New Roman" w:hAnsi="Times New Roman" w:cs="Times New Roman"/>
          <w:color w:val="000000"/>
        </w:rPr>
        <w:t>Valandro</w:t>
      </w:r>
      <w:proofErr w:type="spellEnd"/>
      <w:r w:rsidR="00FA181D" w:rsidRPr="00BE5F32">
        <w:rPr>
          <w:rFonts w:ascii="Times New Roman" w:hAnsi="Times New Roman" w:cs="Times New Roman"/>
          <w:color w:val="000000"/>
        </w:rPr>
        <w:t xml:space="preserve">, Presidente Adão </w:t>
      </w:r>
      <w:proofErr w:type="spellStart"/>
      <w:r w:rsidR="00FA181D" w:rsidRPr="00BE5F32">
        <w:rPr>
          <w:rFonts w:ascii="Times New Roman" w:hAnsi="Times New Roman" w:cs="Times New Roman"/>
          <w:color w:val="000000"/>
        </w:rPr>
        <w:t>Petriz</w:t>
      </w:r>
      <w:proofErr w:type="spellEnd"/>
      <w:r w:rsidR="00FA181D" w:rsidRPr="00BE5F32">
        <w:rPr>
          <w:rFonts w:ascii="Times New Roman" w:hAnsi="Times New Roman" w:cs="Times New Roman"/>
          <w:color w:val="000000"/>
        </w:rPr>
        <w:t xml:space="preserve"> de Oliveira, Vice-presidente e Jonas Maria de Oliveira 1º Secretário da Comissão de Finanças e Orçamento. </w:t>
      </w:r>
      <w:r w:rsidR="00103853" w:rsidRPr="00BE5F32">
        <w:rPr>
          <w:rFonts w:ascii="Times New Roman" w:hAnsi="Times New Roman" w:cs="Times New Roman"/>
          <w:color w:val="000000"/>
        </w:rPr>
        <w:t xml:space="preserve"> para análise da seguinte matéria</w:t>
      </w:r>
      <w:r w:rsidR="00BE5F32" w:rsidRPr="00BE5F32">
        <w:rPr>
          <w:rFonts w:ascii="Times New Roman" w:hAnsi="Times New Roman" w:cs="Times New Roman"/>
          <w:color w:val="000000"/>
        </w:rPr>
        <w:t>:</w:t>
      </w:r>
      <w:r w:rsidR="00BE5F32" w:rsidRPr="00BE5F32">
        <w:rPr>
          <w:rFonts w:ascii="Times New Roman" w:hAnsi="Times New Roman" w:cs="Times New Roman"/>
          <w:b/>
        </w:rPr>
        <w:t xml:space="preserve"> </w:t>
      </w:r>
      <w:r w:rsidR="00BE5F32" w:rsidRPr="00BE5F32">
        <w:rPr>
          <w:rFonts w:ascii="Times New Roman" w:hAnsi="Times New Roman" w:cs="Times New Roman"/>
        </w:rPr>
        <w:t xml:space="preserve">Em atenção ao que determina o Regimento Interno desta Casa de Leis, os projetos foram encaminhados para análise das Comissões Permanentes. Ainda, com fundamento nos </w:t>
      </w:r>
      <w:r w:rsidR="00BE5F32" w:rsidRPr="00BE5F32">
        <w:rPr>
          <w:rFonts w:ascii="Times New Roman" w:hAnsi="Times New Roman" w:cs="Times New Roman"/>
          <w:color w:val="000000" w:themeColor="text1"/>
        </w:rPr>
        <w:t>artigos 52 e 154 do Regimento Interno, o parecer foi emitido conjuntamente. Foram analisadas as seguintes proposições: (a) Projeto de Lei n.º 048, de 04 de outubro de 2023, que define as zonas urbanas, fixa as regras e critérios para graduação dos tributos municipais, para aplicação no exercício financeiro de 2024 e dá outras providências; (b) Projeto de Lei n.º 052/2023, de 06 de novembro de 2023, que autoriza o Executivo Municipal a abrir crédito adicional suplementar no valor de R$ 1.135.000,00 (um milhão e cento e trinta e cinco mil reais) à Lei Orçamentária Anual n.º 1820, de 02/12/2022 (LOA para 2023), para o exercício financeiro de 2023. Após análise, não havendo óbices de natureza constitucional, jurídica, regimental, técnica legislativa ou mesmo de ordem financeira e orçamentária, opinam as Comissões Permanentes favoráveis à admissibilidade e tramitação das proposições.</w:t>
      </w:r>
      <w:r w:rsidR="00BE5F32" w:rsidRPr="00BE5F3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E5F32" w:rsidRPr="00BE5F32">
        <w:rPr>
          <w:rFonts w:ascii="Times New Roman" w:hAnsi="Times New Roman" w:cs="Times New Roman"/>
          <w:color w:val="000000" w:themeColor="text1"/>
        </w:rPr>
        <w:t xml:space="preserve">É o parecer. Passamos à fundamentação. </w:t>
      </w:r>
      <w:bookmarkStart w:id="0" w:name="_GoBack"/>
      <w:bookmarkEnd w:id="0"/>
      <w:r w:rsidR="00BE5F32" w:rsidRPr="00BE5F32">
        <w:rPr>
          <w:rFonts w:ascii="Times New Roman" w:hAnsi="Times New Roman" w:cs="Times New Roman"/>
          <w:b/>
          <w:color w:val="000000" w:themeColor="text1"/>
          <w:u w:val="single"/>
        </w:rPr>
        <w:t>Projeto de Lei n.º 045, de 04 de outubro de 2023.</w:t>
      </w:r>
      <w:r w:rsidR="00BE5F32" w:rsidRPr="00BE5F32">
        <w:rPr>
          <w:rFonts w:ascii="Times New Roman" w:hAnsi="Times New Roman" w:cs="Times New Roman"/>
          <w:color w:val="000000" w:themeColor="text1"/>
        </w:rPr>
        <w:t xml:space="preserve"> </w:t>
      </w:r>
      <w:r w:rsidR="00BE5F32" w:rsidRPr="00BE5F32">
        <w:rPr>
          <w:rFonts w:ascii="Times New Roman" w:hAnsi="Times New Roman" w:cs="Times New Roman"/>
          <w:b/>
          <w:color w:val="000000" w:themeColor="text1"/>
        </w:rPr>
        <w:t>Relatório:</w:t>
      </w:r>
      <w:r w:rsidR="00BE5F32" w:rsidRPr="00BE5F32">
        <w:rPr>
          <w:rFonts w:ascii="Times New Roman" w:hAnsi="Times New Roman" w:cs="Times New Roman"/>
          <w:color w:val="000000" w:themeColor="text1"/>
        </w:rPr>
        <w:t xml:space="preserve"> Cuida-se </w:t>
      </w:r>
      <w:r w:rsidR="00BE5F32" w:rsidRPr="00BE5F32">
        <w:rPr>
          <w:rFonts w:ascii="Times New Roman" w:hAnsi="Times New Roman" w:cs="Times New Roman"/>
        </w:rPr>
        <w:t xml:space="preserve">de Projeto de Lei, de autoria do Chefe do Poder Executivo, que tem por finalidade definir as zonas urbanas, fixar as regras e os critérios para graduação dos tributos municipais, para aplicação no exercício financeiro de 2024. O artigo 1º do projeto define as zonas urbanas e as áreas consideradas urbanizáveis e/ou de expansão urbana no Município de Renascença. Já o artigo 2º estabelece que compete ao Poder Executivo definir os prazos para recolhimento do IPTU e das taxas de serviços urbanos. O artigo 3º estabelece as alíquotas a serem aplicadas sobre a Planta Genérica de Valores no cálculo do IPTU, são elas: I – 0,2% (dois décimos por cento) sobre o valor dos imóveis edificados; II – 0,36% (zero trinta e seis por cento) sobre o valor dos imóveis não edificados; e III – 0,02% (dois centésimos por cento) sobre o valor venal dos imóveis considerando áreas urbanizáveis e/ou de expansão urbana. Por sua vez, o artigo 4º do projeto dispõe que poderão ser isentos do IPTU os imóveis cedidos gratuitamente para funcionamento de serviços públicos municipais, estadual e federal. Por fim, o artigo 5º estabelece que o Poder Executivo poderá conceder um desconto de até 10% (dez por cento) pela antecipação do pagamento do IPTU, em cota única. </w:t>
      </w:r>
      <w:r w:rsidR="00BE5F32" w:rsidRPr="00BE5F32">
        <w:rPr>
          <w:rFonts w:ascii="Times New Roman" w:hAnsi="Times New Roman" w:cs="Times New Roman"/>
          <w:color w:val="000000" w:themeColor="text1"/>
        </w:rPr>
        <w:t xml:space="preserve">É o relatório. </w:t>
      </w:r>
      <w:r w:rsidR="00BE5F32" w:rsidRPr="00BE5F32">
        <w:rPr>
          <w:rFonts w:ascii="Times New Roman" w:hAnsi="Times New Roman" w:cs="Times New Roman"/>
          <w:b/>
          <w:color w:val="000000" w:themeColor="text1"/>
        </w:rPr>
        <w:t>Análise da matéria:</w:t>
      </w:r>
      <w:r w:rsidR="00BE5F32" w:rsidRPr="00BE5F32">
        <w:rPr>
          <w:rFonts w:ascii="Times New Roman" w:hAnsi="Times New Roman" w:cs="Times New Roman"/>
          <w:color w:val="000000" w:themeColor="text1"/>
        </w:rPr>
        <w:t xml:space="preserve"> O projeto é de iniciativa privativa do Poder Executivo, e encontra fundamento nos artigos 6º e 225 do Código Tributário do Município, que prescrevem: “</w:t>
      </w:r>
      <w:r w:rsidR="00BE5F32" w:rsidRPr="00BE5F32">
        <w:rPr>
          <w:rFonts w:ascii="Times New Roman" w:hAnsi="Times New Roman" w:cs="Times New Roman"/>
          <w:i/>
          <w:color w:val="000000" w:themeColor="text1"/>
        </w:rPr>
        <w:t>Art. 6º - Zona urbana é a definida e delimitada em lei municipal com vigência para o exercício seguinte ao de sua fixação”. “Art. 225 - Anualmente o Executivo Municipal enviará ao Poder Legislativo, projeto de Lei fixando as regras, critérios e limites para graduação dos impostos prevista (sic) no §1º do artigo 145º da Constituição Federal, bem como os casos e limites de isenções e descontos especiais a serem concedidos sobre tributos municipais. §1º - o projeto de que trata este artigo será enviado ao Poder Legislativo até 30 de outubro de cada ano, e será votado até o término do exercício financeiro; §2º - A lei decorrente do caput deste artigo terá vigência fixada no próprio texto, não podendo ser superior a um ano e limitada ao exercício financeiro seguinte ao da apresentação do projeto</w:t>
      </w:r>
      <w:r w:rsidR="00BE5F32" w:rsidRPr="00BE5F32">
        <w:rPr>
          <w:rFonts w:ascii="Times New Roman" w:hAnsi="Times New Roman" w:cs="Times New Roman"/>
          <w:color w:val="000000" w:themeColor="text1"/>
        </w:rPr>
        <w:t xml:space="preserve">”. Como se observa a proposição tem por finalidade atender ao disposto no Código Tributário Municipal, Lei Complementar n.º 02, de 10 de outubro de 1991. Analisando o projeto verifica-se que não houve alteração nas alíquotas, tampouco em relação as área consideradas zonas urbanas, urbanizáveis e/ou de expansão urbana, permanecendo aquelas definidas </w:t>
      </w:r>
      <w:r w:rsidR="00BE5F32" w:rsidRPr="00BE5F32">
        <w:rPr>
          <w:rFonts w:ascii="Times New Roman" w:hAnsi="Times New Roman" w:cs="Times New Roman"/>
          <w:color w:val="000000" w:themeColor="text1"/>
        </w:rPr>
        <w:lastRenderedPageBreak/>
        <w:t xml:space="preserve">pela Lei Municipal n.º 1822, de 14 de dezembro de 2022. Relativamente à definição das zonas urbanas está à proposição em conformidade com o artigo 32, §§1º e 2º da Lei n.º 5.172, de 25 de outubro de 1966 (CTN). </w:t>
      </w:r>
      <w:r w:rsidR="00BE5F32" w:rsidRPr="00BE5F32">
        <w:rPr>
          <w:rFonts w:ascii="Times New Roman" w:hAnsi="Times New Roman" w:cs="Times New Roman"/>
          <w:b/>
          <w:color w:val="000000" w:themeColor="text1"/>
        </w:rPr>
        <w:t>Decisão das Comissões:</w:t>
      </w:r>
      <w:r w:rsidR="00BE5F32" w:rsidRPr="00BE5F32">
        <w:rPr>
          <w:rFonts w:ascii="Times New Roman" w:hAnsi="Times New Roman" w:cs="Times New Roman"/>
          <w:color w:val="000000" w:themeColor="text1"/>
        </w:rPr>
        <w:t xml:space="preserve"> Diante do exposto, não existindo vícios de ordem legal, constitucional ou financeira, opinam as Comissões Permanentes favoravelmente à tramitação do Projeto de Lei </w:t>
      </w:r>
      <w:r w:rsidR="00BE5F32" w:rsidRPr="00BE5F32">
        <w:rPr>
          <w:rFonts w:ascii="Times New Roman" w:hAnsi="Times New Roman" w:cs="Times New Roman"/>
        </w:rPr>
        <w:t xml:space="preserve">n.º 045, de 04 de outubro de 2023. </w:t>
      </w:r>
      <w:r w:rsidR="00BE5F32" w:rsidRPr="00BE5F32">
        <w:rPr>
          <w:rFonts w:ascii="Times New Roman" w:hAnsi="Times New Roman" w:cs="Times New Roman"/>
          <w:b/>
          <w:color w:val="000000" w:themeColor="text1"/>
          <w:u w:val="single"/>
        </w:rPr>
        <w:t>Projeto de Lei n.º 052/2023, de 06 de novembro de 2023.</w:t>
      </w:r>
      <w:r w:rsidR="00BE5F32" w:rsidRPr="00BE5F32">
        <w:rPr>
          <w:rFonts w:ascii="Times New Roman" w:hAnsi="Times New Roman" w:cs="Times New Roman"/>
          <w:b/>
          <w:color w:val="000000" w:themeColor="text1"/>
        </w:rPr>
        <w:t xml:space="preserve"> Relatório: </w:t>
      </w:r>
      <w:r w:rsidR="00BE5F32" w:rsidRPr="00BE5F32">
        <w:rPr>
          <w:rFonts w:ascii="Times New Roman" w:hAnsi="Times New Roman" w:cs="Times New Roman"/>
          <w:color w:val="000000" w:themeColor="text1"/>
        </w:rPr>
        <w:t xml:space="preserve">Em harmonia com a Constituição Federal e a Lei Orgânica, o Chefe do Poder Executivo submete à apreciação desta Casa de Leis o Projeto de Lei n.º 052/2023, de 06 de novembro de 2023, que abre crédito adicional suplementar no valor de R$ 1.135.000,00 (um milhão cento e trinta e cinco mil reais) junto à Lei Orçamentária Anual de 2023, Lei n.º 1820/2023, de 02/12/2022. Em mensagem, que acompanha o projeto, justifica o Prefeito Municipal que “o Projeto de Lei em questão tem por finalidade reforçar dotações orçamentárias já existentes no orçamento-programa de 2023. As áreas que estão recebendo o respectivo reforço são: recursos humanos, planejamento, educação, cultura, saúde e social. O reforço maior é para as áreas de Educação e Saúde, onde os valores foram previstos até dezembro, e o objetivo é findar o exercício financeiro de 2023 sem a necessidade de realização de novas suplementações orçamentárias para essas finalidades. Os créditos adicionais suplementares do presente projeto de lei suplementarão somente fontes de recursos livres (000), e o executivo municipal está efetuando a redução orçamentária também das fontes livres (000) do orçamento-programa de 2023, as quais pelo avançado do ano dificilmente serão utilizadas ainda dentro do presente exercício”. É o relatório. </w:t>
      </w:r>
      <w:r w:rsidR="00BE5F32" w:rsidRPr="00BE5F32">
        <w:rPr>
          <w:rFonts w:ascii="Times New Roman" w:hAnsi="Times New Roman" w:cs="Times New Roman"/>
          <w:b/>
          <w:color w:val="000000" w:themeColor="text1"/>
        </w:rPr>
        <w:t xml:space="preserve">Análise da matéria: </w:t>
      </w:r>
      <w:r w:rsidR="00BE5F32" w:rsidRPr="00BE5F32">
        <w:rPr>
          <w:rFonts w:ascii="Times New Roman" w:hAnsi="Times New Roman" w:cs="Times New Roman"/>
          <w:color w:val="000000" w:themeColor="text1"/>
        </w:rPr>
        <w:t>Do exame da proposição, verifica-se que a iniciativa do Poder Executivo está articulada de acordo com a Constituição Federal e a Lei Orgânica. A proposta visa reforçar dotações orçamentárias existentes na Lei Orçamentária Anual de 2023, no valor de R$ 1.135.000,00 (um milhão cento e trinta e cinco mil reais), cujos valores serão assim distribuídos: R$ 105.000,00 (cento e cinco mil reais) para a Secretaria Municipal de Administração e Planejamento; R$ 550.000,00 (quinhentos e cinquenta mil reais) para Secretaria Municipal de Educação, Cultura e Esporte; R$ 400.000,00 (quatrocentos mil reais) para Secretaria Municipal de Saúde; e, por fim, R$ 80.000,00 (oitenta mil reais) para Secretaria Municipal de Assistência Social. A Lei n.º 4.320, de 1964 define quais são os tipos de créditos adicionais, sendo o crédito adicional suplementar previsto no Inciso I do art. 47, que assim se expressa: “Art. 41. Os créditos adicionais classificam-se em: (...) I</w:t>
      </w:r>
      <w:r w:rsidR="00BE5F32" w:rsidRPr="00BE5F32">
        <w:rPr>
          <w:rFonts w:ascii="Times New Roman" w:hAnsi="Times New Roman" w:cs="Times New Roman"/>
          <w:color w:val="000000"/>
          <w:shd w:val="clear" w:color="auto" w:fill="FFFFFF"/>
        </w:rPr>
        <w:t xml:space="preserve"> - suplementares, os destinados a </w:t>
      </w:r>
      <w:proofErr w:type="spellStart"/>
      <w:r w:rsidR="00BE5F32" w:rsidRPr="00BE5F32">
        <w:rPr>
          <w:rFonts w:ascii="Times New Roman" w:hAnsi="Times New Roman" w:cs="Times New Roman"/>
          <w:color w:val="000000"/>
          <w:shd w:val="clear" w:color="auto" w:fill="FFFFFF"/>
        </w:rPr>
        <w:t>refôrço</w:t>
      </w:r>
      <w:proofErr w:type="spellEnd"/>
      <w:r w:rsidR="00BE5F32" w:rsidRPr="00BE5F32">
        <w:rPr>
          <w:rFonts w:ascii="Times New Roman" w:hAnsi="Times New Roman" w:cs="Times New Roman"/>
          <w:color w:val="000000"/>
          <w:shd w:val="clear" w:color="auto" w:fill="FFFFFF"/>
        </w:rPr>
        <w:t xml:space="preserve"> de dotação orçamentária;</w:t>
      </w:r>
      <w:r w:rsidR="00BE5F32" w:rsidRPr="00BE5F32">
        <w:rPr>
          <w:rFonts w:ascii="Times New Roman" w:hAnsi="Times New Roman" w:cs="Times New Roman"/>
          <w:color w:val="000000" w:themeColor="text1"/>
        </w:rPr>
        <w:t xml:space="preserve">;”. Na mesma esteira, a Lei n.º 4.320, de 1964 exige que sejam indicados os recursos para coberturas das despesas. Em consonância com </w:t>
      </w:r>
      <w:r w:rsidR="00BE5F32" w:rsidRPr="00BE5F32">
        <w:rPr>
          <w:rFonts w:ascii="Times New Roman" w:hAnsi="Times New Roman" w:cs="Times New Roman"/>
        </w:rPr>
        <w:t>a determinação do art. 43 da Lei nº 4.320/1964, os recursos para a contrapartida do projeto estão previstos no art. 2º, consistente na anulação parcial/total de dotações orçamentárias junto à fonte 000 – recursos livres. Assim</w:t>
      </w:r>
      <w:r w:rsidR="00BE5F32" w:rsidRPr="00BE5F32">
        <w:rPr>
          <w:rFonts w:ascii="Times New Roman" w:hAnsi="Times New Roman" w:cs="Times New Roman"/>
          <w:color w:val="000000" w:themeColor="text1"/>
        </w:rPr>
        <w:t>, pautado nos dispositivos legais que são exigidos pela Lei n.º 4.320, de 1964 e pela Constituição Federal, no que tange aos seus aspectos constitucionais, legais, orçamentários e financeiros que norteiam nosso parecer, não encontramos quaisquer impedimentos à tramitação do Projeto de Lei n.º 052, de 2023, do Executivo Municipal.</w:t>
      </w:r>
      <w:r w:rsidR="00BE5F32" w:rsidRPr="00BE5F32">
        <w:rPr>
          <w:rFonts w:ascii="Times New Roman" w:hAnsi="Times New Roman" w:cs="Times New Roman"/>
          <w:b/>
          <w:color w:val="000000" w:themeColor="text1"/>
        </w:rPr>
        <w:t xml:space="preserve"> Decisão das Comissões:</w:t>
      </w:r>
      <w:r w:rsidR="00BE5F32" w:rsidRPr="00BE5F32">
        <w:rPr>
          <w:rFonts w:ascii="Times New Roman" w:hAnsi="Times New Roman" w:cs="Times New Roman"/>
          <w:color w:val="000000" w:themeColor="text1"/>
        </w:rPr>
        <w:t xml:space="preserve"> Diante do exposto, opinam as Comissões favoravelmente ao Projeto de Lei n.º 052/2023, de 06 de novembro de 2023.</w:t>
      </w:r>
    </w:p>
    <w:p w:rsidR="00BE5F32" w:rsidRPr="00BE5F32" w:rsidRDefault="00BE5F32" w:rsidP="00BE5F32">
      <w:pPr>
        <w:spacing w:after="0" w:line="300" w:lineRule="atLeast"/>
        <w:jc w:val="both"/>
        <w:rPr>
          <w:rFonts w:ascii="Times New Roman" w:hAnsi="Times New Roman" w:cs="Times New Roman"/>
          <w:color w:val="000000" w:themeColor="text1"/>
        </w:rPr>
      </w:pPr>
    </w:p>
    <w:p w:rsidR="00BE5F32" w:rsidRPr="00BE5F32" w:rsidRDefault="00BE5F32" w:rsidP="00BE5F32"/>
    <w:p w:rsidR="00FD385F" w:rsidRPr="00BE5F32" w:rsidRDefault="00AB3EDD" w:rsidP="004576F6">
      <w:pPr>
        <w:jc w:val="both"/>
        <w:rPr>
          <w:rFonts w:ascii="Times New Roman" w:hAnsi="Times New Roman" w:cs="Times New Roman"/>
          <w:color w:val="000000" w:themeColor="text1"/>
        </w:rPr>
      </w:pPr>
      <w:r w:rsidRPr="00BE5F32">
        <w:rPr>
          <w:rFonts w:ascii="Times New Roman" w:hAnsi="Times New Roman" w:cs="Times New Roman"/>
          <w:color w:val="000000" w:themeColor="text1"/>
        </w:rPr>
        <w:t>1-                                                        2-                                                     3-</w:t>
      </w:r>
    </w:p>
    <w:sectPr w:rsidR="00FD385F" w:rsidRPr="00BE5F32" w:rsidSect="006900F6">
      <w:headerReference w:type="default" r:id="rId6"/>
      <w:pgSz w:w="11906" w:h="16838"/>
      <w:pgMar w:top="2552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DE9" w:rsidRDefault="00926DE9" w:rsidP="00E07FB4">
      <w:pPr>
        <w:spacing w:after="0" w:line="240" w:lineRule="auto"/>
      </w:pPr>
      <w:r>
        <w:separator/>
      </w:r>
    </w:p>
  </w:endnote>
  <w:endnote w:type="continuationSeparator" w:id="0">
    <w:p w:rsidR="00926DE9" w:rsidRDefault="00926DE9" w:rsidP="00E0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DE9" w:rsidRDefault="00926DE9" w:rsidP="00E07FB4">
      <w:pPr>
        <w:spacing w:after="0" w:line="240" w:lineRule="auto"/>
      </w:pPr>
      <w:r>
        <w:separator/>
      </w:r>
    </w:p>
  </w:footnote>
  <w:footnote w:type="continuationSeparator" w:id="0">
    <w:p w:rsidR="00926DE9" w:rsidRDefault="00926DE9" w:rsidP="00E0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7D2" w:rsidRDefault="007F37D2">
    <w:pPr>
      <w:pStyle w:val="Cabealho"/>
    </w:pPr>
    <w:r>
      <w:rPr>
        <w:noProof/>
        <w:lang w:eastAsia="pt-BR"/>
      </w:rPr>
      <w:drawing>
        <wp:inline distT="0" distB="0" distL="0" distR="0">
          <wp:extent cx="6120130" cy="9709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9986"/>
  </w:hdrShapeDefaults>
  <w:footnotePr>
    <w:footnote w:id="-1"/>
    <w:footnote w:id="0"/>
  </w:footnotePr>
  <w:endnotePr>
    <w:endnote w:id="-1"/>
    <w:endnote w:id="0"/>
  </w:endnotePr>
  <w:compat/>
  <w:rsids>
    <w:rsidRoot w:val="00766660"/>
    <w:rsid w:val="00001323"/>
    <w:rsid w:val="00010838"/>
    <w:rsid w:val="00022BD7"/>
    <w:rsid w:val="0002700E"/>
    <w:rsid w:val="00027F13"/>
    <w:rsid w:val="0004636A"/>
    <w:rsid w:val="00046AEF"/>
    <w:rsid w:val="00075D13"/>
    <w:rsid w:val="00091962"/>
    <w:rsid w:val="00092E05"/>
    <w:rsid w:val="000B20FF"/>
    <w:rsid w:val="000C10C7"/>
    <w:rsid w:val="000C13F8"/>
    <w:rsid w:val="000C771F"/>
    <w:rsid w:val="000D2A94"/>
    <w:rsid w:val="000D6FB9"/>
    <w:rsid w:val="000F00EA"/>
    <w:rsid w:val="000F1B3F"/>
    <w:rsid w:val="00103853"/>
    <w:rsid w:val="00111DA6"/>
    <w:rsid w:val="001178F7"/>
    <w:rsid w:val="00130119"/>
    <w:rsid w:val="00164FC0"/>
    <w:rsid w:val="00175A6B"/>
    <w:rsid w:val="00185510"/>
    <w:rsid w:val="001A013A"/>
    <w:rsid w:val="001A4F40"/>
    <w:rsid w:val="001B74B8"/>
    <w:rsid w:val="001C09D6"/>
    <w:rsid w:val="001C1E08"/>
    <w:rsid w:val="001C42B6"/>
    <w:rsid w:val="001C48E3"/>
    <w:rsid w:val="001D7175"/>
    <w:rsid w:val="001F6D62"/>
    <w:rsid w:val="00206DC2"/>
    <w:rsid w:val="00224569"/>
    <w:rsid w:val="0022654D"/>
    <w:rsid w:val="00233F02"/>
    <w:rsid w:val="0025101F"/>
    <w:rsid w:val="0026270F"/>
    <w:rsid w:val="002638A9"/>
    <w:rsid w:val="002652CB"/>
    <w:rsid w:val="002770FF"/>
    <w:rsid w:val="00277E37"/>
    <w:rsid w:val="00280916"/>
    <w:rsid w:val="002A2B2F"/>
    <w:rsid w:val="002B2B19"/>
    <w:rsid w:val="002C4CBB"/>
    <w:rsid w:val="002C62D5"/>
    <w:rsid w:val="002C7C5F"/>
    <w:rsid w:val="002D3205"/>
    <w:rsid w:val="002D70C8"/>
    <w:rsid w:val="002E7AEF"/>
    <w:rsid w:val="002F1D0A"/>
    <w:rsid w:val="002F2302"/>
    <w:rsid w:val="002F507E"/>
    <w:rsid w:val="002F613C"/>
    <w:rsid w:val="00305317"/>
    <w:rsid w:val="00316467"/>
    <w:rsid w:val="00335F79"/>
    <w:rsid w:val="0037736A"/>
    <w:rsid w:val="00381C43"/>
    <w:rsid w:val="00385090"/>
    <w:rsid w:val="0039378C"/>
    <w:rsid w:val="003A02AA"/>
    <w:rsid w:val="003A0413"/>
    <w:rsid w:val="003B08AC"/>
    <w:rsid w:val="003F6ABE"/>
    <w:rsid w:val="00404867"/>
    <w:rsid w:val="00421894"/>
    <w:rsid w:val="004576F6"/>
    <w:rsid w:val="00464E09"/>
    <w:rsid w:val="00473F9E"/>
    <w:rsid w:val="00475966"/>
    <w:rsid w:val="004803DC"/>
    <w:rsid w:val="004A415D"/>
    <w:rsid w:val="004B063B"/>
    <w:rsid w:val="004B3541"/>
    <w:rsid w:val="004B46D6"/>
    <w:rsid w:val="004B56A5"/>
    <w:rsid w:val="004C6185"/>
    <w:rsid w:val="004D13E5"/>
    <w:rsid w:val="004F34E5"/>
    <w:rsid w:val="005028E3"/>
    <w:rsid w:val="005039FC"/>
    <w:rsid w:val="005042FB"/>
    <w:rsid w:val="005762E8"/>
    <w:rsid w:val="005778C8"/>
    <w:rsid w:val="005A7846"/>
    <w:rsid w:val="005C25C4"/>
    <w:rsid w:val="005C6898"/>
    <w:rsid w:val="005D1793"/>
    <w:rsid w:val="005E12B0"/>
    <w:rsid w:val="005E1E8F"/>
    <w:rsid w:val="005E3E8B"/>
    <w:rsid w:val="005F6383"/>
    <w:rsid w:val="00602C39"/>
    <w:rsid w:val="0061178A"/>
    <w:rsid w:val="00614749"/>
    <w:rsid w:val="00625B60"/>
    <w:rsid w:val="006305C9"/>
    <w:rsid w:val="0064018A"/>
    <w:rsid w:val="0064171C"/>
    <w:rsid w:val="00651A8A"/>
    <w:rsid w:val="00652FD7"/>
    <w:rsid w:val="00665495"/>
    <w:rsid w:val="006900F6"/>
    <w:rsid w:val="006915AB"/>
    <w:rsid w:val="006936F2"/>
    <w:rsid w:val="00693749"/>
    <w:rsid w:val="006A4202"/>
    <w:rsid w:val="006B1D3C"/>
    <w:rsid w:val="006B6D1E"/>
    <w:rsid w:val="006C208C"/>
    <w:rsid w:val="006D4DB7"/>
    <w:rsid w:val="00710FA7"/>
    <w:rsid w:val="0071173B"/>
    <w:rsid w:val="00723D82"/>
    <w:rsid w:val="00731595"/>
    <w:rsid w:val="00736CC4"/>
    <w:rsid w:val="007428FB"/>
    <w:rsid w:val="0075351C"/>
    <w:rsid w:val="00766660"/>
    <w:rsid w:val="00781198"/>
    <w:rsid w:val="007B228A"/>
    <w:rsid w:val="007C3986"/>
    <w:rsid w:val="007C3B95"/>
    <w:rsid w:val="007D0796"/>
    <w:rsid w:val="007F37D2"/>
    <w:rsid w:val="008023D6"/>
    <w:rsid w:val="00803CBB"/>
    <w:rsid w:val="00816724"/>
    <w:rsid w:val="00830E90"/>
    <w:rsid w:val="00842CD1"/>
    <w:rsid w:val="00845E23"/>
    <w:rsid w:val="008549B5"/>
    <w:rsid w:val="008554EF"/>
    <w:rsid w:val="0087439A"/>
    <w:rsid w:val="008770CD"/>
    <w:rsid w:val="00884E01"/>
    <w:rsid w:val="008941D2"/>
    <w:rsid w:val="008A1A3F"/>
    <w:rsid w:val="008B08DE"/>
    <w:rsid w:val="008B6C15"/>
    <w:rsid w:val="008C346F"/>
    <w:rsid w:val="008E119E"/>
    <w:rsid w:val="008E682F"/>
    <w:rsid w:val="008E6FFC"/>
    <w:rsid w:val="008F774A"/>
    <w:rsid w:val="00904B9B"/>
    <w:rsid w:val="009074CC"/>
    <w:rsid w:val="00907B10"/>
    <w:rsid w:val="00911AB1"/>
    <w:rsid w:val="00912DF4"/>
    <w:rsid w:val="00914B4C"/>
    <w:rsid w:val="00925E0B"/>
    <w:rsid w:val="00926DE9"/>
    <w:rsid w:val="00926FD5"/>
    <w:rsid w:val="009469E7"/>
    <w:rsid w:val="009503BA"/>
    <w:rsid w:val="009554D8"/>
    <w:rsid w:val="00957070"/>
    <w:rsid w:val="0096233E"/>
    <w:rsid w:val="009675EC"/>
    <w:rsid w:val="00976110"/>
    <w:rsid w:val="00990268"/>
    <w:rsid w:val="00993A4E"/>
    <w:rsid w:val="009953EE"/>
    <w:rsid w:val="009A207A"/>
    <w:rsid w:val="009B5546"/>
    <w:rsid w:val="009C041F"/>
    <w:rsid w:val="009C6590"/>
    <w:rsid w:val="009D7491"/>
    <w:rsid w:val="009E736D"/>
    <w:rsid w:val="00A1471B"/>
    <w:rsid w:val="00A21AD1"/>
    <w:rsid w:val="00A2324E"/>
    <w:rsid w:val="00A234DF"/>
    <w:rsid w:val="00A274D1"/>
    <w:rsid w:val="00A27C1D"/>
    <w:rsid w:val="00A30CC9"/>
    <w:rsid w:val="00A337F8"/>
    <w:rsid w:val="00A361F2"/>
    <w:rsid w:val="00A371D4"/>
    <w:rsid w:val="00A46D64"/>
    <w:rsid w:val="00A53316"/>
    <w:rsid w:val="00A56521"/>
    <w:rsid w:val="00A7701A"/>
    <w:rsid w:val="00A93991"/>
    <w:rsid w:val="00A9581C"/>
    <w:rsid w:val="00A95FC5"/>
    <w:rsid w:val="00AB2867"/>
    <w:rsid w:val="00AB3EDD"/>
    <w:rsid w:val="00AB420F"/>
    <w:rsid w:val="00AB605A"/>
    <w:rsid w:val="00AC017C"/>
    <w:rsid w:val="00AD2352"/>
    <w:rsid w:val="00AD2782"/>
    <w:rsid w:val="00AD4951"/>
    <w:rsid w:val="00AD7D52"/>
    <w:rsid w:val="00AF51E5"/>
    <w:rsid w:val="00B03AFB"/>
    <w:rsid w:val="00B05D7B"/>
    <w:rsid w:val="00B110ED"/>
    <w:rsid w:val="00B16B3D"/>
    <w:rsid w:val="00B2527F"/>
    <w:rsid w:val="00B26D9C"/>
    <w:rsid w:val="00B31075"/>
    <w:rsid w:val="00B63E72"/>
    <w:rsid w:val="00B66D05"/>
    <w:rsid w:val="00B75D09"/>
    <w:rsid w:val="00B82F88"/>
    <w:rsid w:val="00B84E99"/>
    <w:rsid w:val="00B940D4"/>
    <w:rsid w:val="00B96D2B"/>
    <w:rsid w:val="00BA70AE"/>
    <w:rsid w:val="00BB7CE1"/>
    <w:rsid w:val="00BE5F32"/>
    <w:rsid w:val="00BF022F"/>
    <w:rsid w:val="00C434DD"/>
    <w:rsid w:val="00C45F86"/>
    <w:rsid w:val="00C4632F"/>
    <w:rsid w:val="00C476CF"/>
    <w:rsid w:val="00C53B39"/>
    <w:rsid w:val="00C55793"/>
    <w:rsid w:val="00C55CB7"/>
    <w:rsid w:val="00C62D47"/>
    <w:rsid w:val="00C71665"/>
    <w:rsid w:val="00C719AA"/>
    <w:rsid w:val="00C77BA4"/>
    <w:rsid w:val="00C95687"/>
    <w:rsid w:val="00CA49C8"/>
    <w:rsid w:val="00CB068C"/>
    <w:rsid w:val="00CC064E"/>
    <w:rsid w:val="00CC35CF"/>
    <w:rsid w:val="00CD7C28"/>
    <w:rsid w:val="00CE3372"/>
    <w:rsid w:val="00CE77CC"/>
    <w:rsid w:val="00CF3FCF"/>
    <w:rsid w:val="00CF4696"/>
    <w:rsid w:val="00CF6C6B"/>
    <w:rsid w:val="00D00F6D"/>
    <w:rsid w:val="00D16F85"/>
    <w:rsid w:val="00D24992"/>
    <w:rsid w:val="00D3166D"/>
    <w:rsid w:val="00D51AAA"/>
    <w:rsid w:val="00D633B3"/>
    <w:rsid w:val="00D65B02"/>
    <w:rsid w:val="00D9133B"/>
    <w:rsid w:val="00D97F77"/>
    <w:rsid w:val="00DB7B84"/>
    <w:rsid w:val="00DD07BF"/>
    <w:rsid w:val="00DD3453"/>
    <w:rsid w:val="00DD7F99"/>
    <w:rsid w:val="00DE385C"/>
    <w:rsid w:val="00E02E8A"/>
    <w:rsid w:val="00E04E3C"/>
    <w:rsid w:val="00E073AF"/>
    <w:rsid w:val="00E07FB4"/>
    <w:rsid w:val="00E13F4E"/>
    <w:rsid w:val="00E87210"/>
    <w:rsid w:val="00E90297"/>
    <w:rsid w:val="00E96A78"/>
    <w:rsid w:val="00EB372E"/>
    <w:rsid w:val="00EB60A9"/>
    <w:rsid w:val="00EB6D68"/>
    <w:rsid w:val="00EC1A8C"/>
    <w:rsid w:val="00EC1DBD"/>
    <w:rsid w:val="00ED60D8"/>
    <w:rsid w:val="00EE3544"/>
    <w:rsid w:val="00F1432A"/>
    <w:rsid w:val="00F270BE"/>
    <w:rsid w:val="00F454B7"/>
    <w:rsid w:val="00F50C94"/>
    <w:rsid w:val="00F6290D"/>
    <w:rsid w:val="00F738BC"/>
    <w:rsid w:val="00F84F33"/>
    <w:rsid w:val="00F95628"/>
    <w:rsid w:val="00FA181D"/>
    <w:rsid w:val="00FA38C6"/>
    <w:rsid w:val="00FA50E1"/>
    <w:rsid w:val="00FB2644"/>
    <w:rsid w:val="00FB266B"/>
    <w:rsid w:val="00FD2FF0"/>
    <w:rsid w:val="00FD385F"/>
    <w:rsid w:val="00FD55C3"/>
    <w:rsid w:val="00FE1A90"/>
    <w:rsid w:val="00FE6E9A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E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7FB4"/>
  </w:style>
  <w:style w:type="paragraph" w:styleId="Rodap">
    <w:name w:val="footer"/>
    <w:basedOn w:val="Normal"/>
    <w:link w:val="Rodap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7FB4"/>
  </w:style>
  <w:style w:type="paragraph" w:styleId="Textodebalo">
    <w:name w:val="Balloon Text"/>
    <w:basedOn w:val="Normal"/>
    <w:link w:val="TextodebaloChar"/>
    <w:uiPriority w:val="99"/>
    <w:semiHidden/>
    <w:unhideWhenUsed/>
    <w:rsid w:val="002C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C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30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7F37D2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F84F3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809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80916"/>
    <w:rPr>
      <w:rFonts w:ascii="Arial MT" w:eastAsia="Arial MT" w:hAnsi="Arial MT" w:cs="Arial MT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8941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1240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czviana</dc:creator>
  <cp:lastModifiedBy>Usuario</cp:lastModifiedBy>
  <cp:revision>111</cp:revision>
  <cp:lastPrinted>2023-11-14T13:34:00Z</cp:lastPrinted>
  <dcterms:created xsi:type="dcterms:W3CDTF">2019-02-12T11:28:00Z</dcterms:created>
  <dcterms:modified xsi:type="dcterms:W3CDTF">2023-11-14T13:41:00Z</dcterms:modified>
</cp:coreProperties>
</file>