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8A" w:rsidRDefault="006900F6" w:rsidP="00651A8A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Ata da </w:t>
      </w:r>
      <w:r w:rsidR="00925E0B" w:rsidRPr="00FA181D">
        <w:rPr>
          <w:rFonts w:ascii="Times New Roman" w:hAnsi="Times New Roman" w:cs="Times New Roman"/>
          <w:color w:val="000000"/>
          <w:sz w:val="24"/>
          <w:szCs w:val="24"/>
        </w:rPr>
        <w:t>décima</w:t>
      </w:r>
      <w:r w:rsidR="00B940D4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81D" w:rsidRPr="00FA181D">
        <w:rPr>
          <w:rFonts w:ascii="Times New Roman" w:hAnsi="Times New Roman" w:cs="Times New Roman"/>
          <w:color w:val="000000"/>
          <w:sz w:val="24"/>
          <w:szCs w:val="24"/>
        </w:rPr>
        <w:t>quinta</w:t>
      </w:r>
      <w:r w:rsidR="00B03AFB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181D">
        <w:rPr>
          <w:rFonts w:ascii="Times New Roman" w:hAnsi="Times New Roman" w:cs="Times New Roman"/>
          <w:color w:val="000000"/>
          <w:sz w:val="24"/>
          <w:szCs w:val="24"/>
        </w:rPr>
        <w:t>reunião da C</w:t>
      </w:r>
      <w:r w:rsidR="0087439A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omissão de Finanças e Orçamento </w:t>
      </w:r>
      <w:r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</w:t>
      </w:r>
      <w:r w:rsidR="00305317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Vereadores de Renascença. </w:t>
      </w:r>
      <w:r w:rsidR="00B03AFB" w:rsidRPr="00FA181D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D16F85" w:rsidRPr="00FA181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03AFB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81D" w:rsidRPr="00FA181D">
        <w:rPr>
          <w:rFonts w:ascii="Times New Roman" w:hAnsi="Times New Roman" w:cs="Times New Roman"/>
          <w:color w:val="000000"/>
          <w:sz w:val="24"/>
          <w:szCs w:val="24"/>
        </w:rPr>
        <w:t>dez</w:t>
      </w:r>
      <w:r w:rsidR="008E6FFC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654D" w:rsidRPr="00FA181D">
        <w:rPr>
          <w:rFonts w:ascii="Times New Roman" w:hAnsi="Times New Roman" w:cs="Times New Roman"/>
          <w:color w:val="000000"/>
          <w:sz w:val="24"/>
          <w:szCs w:val="24"/>
        </w:rPr>
        <w:t>dia</w:t>
      </w:r>
      <w:r w:rsidR="00D16F85" w:rsidRPr="00FA181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2527F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do mês de </w:t>
      </w:r>
      <w:r w:rsidR="00FA181D" w:rsidRPr="00FA181D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EB6D68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1D2" w:rsidRPr="00FA181D">
        <w:rPr>
          <w:rFonts w:ascii="Times New Roman" w:hAnsi="Times New Roman" w:cs="Times New Roman"/>
          <w:color w:val="000000"/>
          <w:sz w:val="24"/>
          <w:szCs w:val="24"/>
        </w:rPr>
        <w:t>de 2023</w:t>
      </w:r>
      <w:r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, junto ao Plenário da Câmara Municipal, reuniram-se os Vereadores: </w:t>
      </w:r>
      <w:r w:rsidR="00FA181D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Marcos Antônio </w:t>
      </w:r>
      <w:proofErr w:type="spellStart"/>
      <w:r w:rsidR="00FA181D" w:rsidRPr="00FA181D">
        <w:rPr>
          <w:rFonts w:ascii="Times New Roman" w:hAnsi="Times New Roman" w:cs="Times New Roman"/>
          <w:color w:val="000000"/>
          <w:sz w:val="24"/>
          <w:szCs w:val="24"/>
        </w:rPr>
        <w:t>Valandro</w:t>
      </w:r>
      <w:proofErr w:type="spellEnd"/>
      <w:r w:rsidR="00FA181D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, Presidente Adão </w:t>
      </w:r>
      <w:proofErr w:type="spellStart"/>
      <w:r w:rsidR="00FA181D" w:rsidRPr="00FA181D">
        <w:rPr>
          <w:rFonts w:ascii="Times New Roman" w:hAnsi="Times New Roman" w:cs="Times New Roman"/>
          <w:color w:val="000000"/>
          <w:sz w:val="24"/>
          <w:szCs w:val="24"/>
        </w:rPr>
        <w:t>Petriz</w:t>
      </w:r>
      <w:proofErr w:type="spellEnd"/>
      <w:r w:rsidR="00FA181D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 de Oliveira, Vice-presidente e Jonas Maria de Oliveira 1º Secretário da Comissão de Finanças e Orçamento. </w:t>
      </w:r>
      <w:r w:rsidR="00103853" w:rsidRPr="00FA181D">
        <w:rPr>
          <w:rFonts w:ascii="Times New Roman" w:hAnsi="Times New Roman" w:cs="Times New Roman"/>
          <w:color w:val="000000"/>
          <w:sz w:val="24"/>
          <w:szCs w:val="24"/>
        </w:rPr>
        <w:t xml:space="preserve"> para análise da seguinte matéria:</w:t>
      </w:r>
      <w:r w:rsidR="00103853" w:rsidRPr="00FA181D">
        <w:rPr>
          <w:rFonts w:ascii="Times New Roman" w:hAnsi="Times New Roman" w:cs="Times New Roman"/>
          <w:sz w:val="24"/>
          <w:szCs w:val="24"/>
        </w:rPr>
        <w:t xml:space="preserve"> </w:t>
      </w:r>
      <w:r w:rsidR="00651A8A" w:rsidRPr="00651A8A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651A8A" w:rsidRP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Resolução n.º 004, de 20 de julho de 2023, que dispõe sobre a regulamentação da Lei Geral de Proteção de Dados – LGPD no âmbito da Câmara Municipal de Vereadores de Renascença e dá outras providências; (b) Projeto de Lei n.º 005, de 03 de agosto de 2023 do Legislativo, que Declara de Utilidade Pública a Associação de Agricultores Sete de Setembro e dá outras providências; (c) Projeto de Lei n.º 006/2023 do Legislativo, que denomina “Rua Otavio Gonçalves Padilha” a via pública que tem denominação provisória Rua 01, situada na Área Industrial II do município de Renascença e dá outras providências; (d) Projeto de Lei n.º 031/2023, de 31 de julho de 2023, que autoriza o Executivo Municipal a alterar ação orçamentária da despesa, e adequar à receita orçamentária no Plano Plurianual – PPA para o quadriênio de 2022 a 2025, o qual foi aprovado através da Lei Municipal nº 1748, de 29 de julho de 2021, e dá outras providências; (e) Projeto de Lei n.º 033, de 07 de agosto de 2023, que autoriza o Poder Executivo Municipal a promover a desafetação e a Concessão de Direito Real de Uso do Lote nº 12 – Remanescente A, da Gleba Barra do Marmeleiro – Secção B. Após análise, não havendo óbices de natureza constitucional, jurídica, regimental, técnica legislativa ou mesmo de ordem financeira e orçamentária, opinam as Comissões Permanentes favoráveis à admissibilidade e tramitação das proposições. É o parecer. Passamos à fundamentação. </w:t>
      </w:r>
      <w:r w:rsidR="00651A8A" w:rsidRPr="00651A8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Projeto de Resolução n.º 004, de 20 de julho de 2023</w:t>
      </w:r>
      <w:r w:rsidR="00651A8A" w:rsidRPr="00651A8A">
        <w:rPr>
          <w:rFonts w:ascii="Times New Roman" w:hAnsi="Times New Roman" w:cs="Times New Roman"/>
          <w:color w:val="000000" w:themeColor="text1"/>
          <w:sz w:val="24"/>
          <w:szCs w:val="24"/>
        </w:rPr>
        <w:t>. Relatório:</w:t>
      </w:r>
      <w:r w:rsidR="00651A8A" w:rsidRPr="00063C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51A8A" w:rsidRPr="00063C88">
        <w:rPr>
          <w:rFonts w:ascii="Times New Roman" w:hAnsi="Times New Roman" w:cs="Times New Roman"/>
          <w:color w:val="000000" w:themeColor="text1"/>
          <w:sz w:val="24"/>
          <w:szCs w:val="24"/>
        </w:rPr>
        <w:t>O Projeto de Resolução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n.º 004/2023, de autoria da Mesa Diretora,</w:t>
      </w:r>
      <w:r w:rsidR="00651A8A" w:rsidRPr="00063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 por objetivo regulamentar a aplicação da Lei Federal n.º 13.709, de 14 d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>e agosto de 2018 (Lei Geral de P</w:t>
      </w:r>
      <w:r w:rsidR="00651A8A" w:rsidRPr="00063C88">
        <w:rPr>
          <w:rFonts w:ascii="Times New Roman" w:hAnsi="Times New Roman" w:cs="Times New Roman"/>
          <w:color w:val="000000" w:themeColor="text1"/>
          <w:sz w:val="24"/>
          <w:szCs w:val="24"/>
        </w:rPr>
        <w:t>roteção de Dados Pessoais – LGPD), no âmbito da Câmara Municipal de Renascença. Em resumo, esclarece a Mesa Diretora que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51A8A" w:rsidRPr="00063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“a Lei Geral de Proteção de Dados (LGPD) é uma legislação que estabelece regras para a coleta, armazenamento, tratamento e compartilhamento de dados pessoais, tanto por empresas quanto por órgãos públicos. A implantação da LGPD nos entes públicos é importante porque garante a proteção dos dados pessoais dos cidadãos, evitando uso indevido ou ilegal dessas informações por terceiros 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(...). A lei se aplica tanto ao setor público quanto ao privado e tem como objetivo proteger os dados dos cidadãos e garantir a privacidade e a segurança desses dados”. </w:t>
      </w:r>
      <w:r w:rsidR="00651A8A" w:rsidRPr="00063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relatório. </w:t>
      </w:r>
      <w:r w:rsidR="00651A8A" w:rsidRPr="00063C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651A8A" w:rsidRPr="00063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de Resolução é de autoria da Mesa Diretora, e cumpre os requisitos formais de admissibilidade. O artigo 135 do Regimento Interno 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desta Casa de Leis </w:t>
      </w:r>
      <w:r w:rsidR="00651A8A" w:rsidRPr="00063C88">
        <w:rPr>
          <w:rFonts w:ascii="Times New Roman" w:hAnsi="Times New Roman" w:cs="Times New Roman"/>
          <w:color w:val="000000" w:themeColor="text1"/>
          <w:sz w:val="24"/>
          <w:szCs w:val="24"/>
        </w:rPr>
        <w:t>dispõe que: “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135 - </w:t>
      </w:r>
      <w:r w:rsidR="00651A8A" w:rsidRPr="00063C88">
        <w:rPr>
          <w:rFonts w:ascii="Times New Roman" w:hAnsi="Times New Roman" w:cs="Times New Roman"/>
          <w:sz w:val="24"/>
          <w:szCs w:val="24"/>
        </w:rPr>
        <w:t>Projeto de Resolução é a proposição destinada a regular assunto de economia</w:t>
      </w:r>
      <w:r w:rsidR="00651A8A">
        <w:rPr>
          <w:rFonts w:ascii="Times New Roman" w:hAnsi="Times New Roman" w:cs="Times New Roman"/>
          <w:sz w:val="24"/>
          <w:szCs w:val="24"/>
        </w:rPr>
        <w:t xml:space="preserve"> </w:t>
      </w:r>
      <w:r w:rsidR="00651A8A" w:rsidRPr="00063C88">
        <w:rPr>
          <w:rFonts w:ascii="Times New Roman" w:hAnsi="Times New Roman" w:cs="Times New Roman"/>
          <w:sz w:val="24"/>
          <w:szCs w:val="24"/>
        </w:rPr>
        <w:t>interna da Câmara</w:t>
      </w:r>
      <w:r w:rsidR="00651A8A">
        <w:rPr>
          <w:rFonts w:ascii="Times New Roman" w:hAnsi="Times New Roman" w:cs="Times New Roman"/>
          <w:sz w:val="24"/>
          <w:szCs w:val="24"/>
        </w:rPr>
        <w:t xml:space="preserve"> Municipal</w:t>
      </w:r>
      <w:r w:rsidR="00651A8A" w:rsidRPr="00063C88">
        <w:rPr>
          <w:rFonts w:ascii="Times New Roman" w:hAnsi="Times New Roman" w:cs="Times New Roman"/>
          <w:sz w:val="24"/>
          <w:szCs w:val="24"/>
        </w:rPr>
        <w:t>, de natureza político-administrativa e versará sobre a sua Secretaria</w:t>
      </w:r>
      <w:r w:rsidR="00651A8A">
        <w:rPr>
          <w:rFonts w:ascii="Times New Roman" w:hAnsi="Times New Roman" w:cs="Times New Roman"/>
          <w:sz w:val="24"/>
          <w:szCs w:val="24"/>
        </w:rPr>
        <w:t xml:space="preserve"> </w:t>
      </w:r>
      <w:r w:rsidR="00651A8A" w:rsidRPr="00063C88">
        <w:rPr>
          <w:rFonts w:ascii="Times New Roman" w:hAnsi="Times New Roman" w:cs="Times New Roman"/>
          <w:sz w:val="24"/>
          <w:szCs w:val="24"/>
        </w:rPr>
        <w:t xml:space="preserve">Administrativa, a Mesa e os Vereadores”. Por sua vez, a Lei Orgânica </w:t>
      </w:r>
      <w:r w:rsidR="00651A8A">
        <w:rPr>
          <w:rFonts w:ascii="Times New Roman" w:hAnsi="Times New Roman" w:cs="Times New Roman"/>
          <w:sz w:val="24"/>
          <w:szCs w:val="24"/>
        </w:rPr>
        <w:t>prevê</w:t>
      </w:r>
      <w:r w:rsidR="00651A8A" w:rsidRPr="00063C88">
        <w:rPr>
          <w:rFonts w:ascii="Times New Roman" w:hAnsi="Times New Roman" w:cs="Times New Roman"/>
          <w:sz w:val="24"/>
          <w:szCs w:val="24"/>
        </w:rPr>
        <w:t xml:space="preserve"> que compete a Câmara </w:t>
      </w:r>
      <w:r w:rsidR="00651A8A">
        <w:rPr>
          <w:rFonts w:ascii="Times New Roman" w:hAnsi="Times New Roman" w:cs="Times New Roman"/>
          <w:sz w:val="24"/>
          <w:szCs w:val="24"/>
        </w:rPr>
        <w:t xml:space="preserve">Municipal </w:t>
      </w:r>
      <w:r w:rsidR="00651A8A" w:rsidRPr="00063C88">
        <w:rPr>
          <w:rFonts w:ascii="Times New Roman" w:hAnsi="Times New Roman" w:cs="Times New Roman"/>
          <w:sz w:val="24"/>
          <w:szCs w:val="24"/>
        </w:rPr>
        <w:t>dispor sobre sua organização e funcionamento (</w:t>
      </w:r>
      <w:r w:rsidR="00651A8A">
        <w:rPr>
          <w:rFonts w:ascii="Times New Roman" w:hAnsi="Times New Roman" w:cs="Times New Roman"/>
          <w:sz w:val="24"/>
          <w:szCs w:val="24"/>
        </w:rPr>
        <w:t>A</w:t>
      </w:r>
      <w:r w:rsidR="00651A8A" w:rsidRPr="00063C88">
        <w:rPr>
          <w:rFonts w:ascii="Times New Roman" w:hAnsi="Times New Roman" w:cs="Times New Roman"/>
          <w:sz w:val="24"/>
          <w:szCs w:val="24"/>
        </w:rPr>
        <w:t>rt. 18, VII).</w:t>
      </w:r>
      <w:r w:rsidR="00651A8A">
        <w:rPr>
          <w:rFonts w:ascii="Times New Roman" w:hAnsi="Times New Roman" w:cs="Times New Roman"/>
          <w:sz w:val="24"/>
          <w:szCs w:val="24"/>
        </w:rPr>
        <w:t xml:space="preserve"> Desta forma, restam cumpridos os requisitos da competência e iniciativa. Conforme relatado, o projeto em análise busca </w:t>
      </w:r>
      <w:r w:rsidR="00651A8A">
        <w:rPr>
          <w:rFonts w:ascii="Times New Roman" w:hAnsi="Times New Roman" w:cs="Times New Roman"/>
          <w:sz w:val="24"/>
          <w:szCs w:val="24"/>
        </w:rPr>
        <w:lastRenderedPageBreak/>
        <w:t xml:space="preserve">regulamentar a aplicação da </w:t>
      </w:r>
      <w:r w:rsidR="00651A8A" w:rsidRPr="00063C88">
        <w:rPr>
          <w:rFonts w:ascii="Times New Roman" w:hAnsi="Times New Roman" w:cs="Times New Roman"/>
          <w:color w:val="000000" w:themeColor="text1"/>
          <w:sz w:val="24"/>
          <w:szCs w:val="24"/>
        </w:rPr>
        <w:t>Lei Federal n.º 13.709, de 14 de agosto de 2018 (Lei Geral de proteção de Dados Pessoais – LGPD), no âmbito da Câmara Municipal de Renascença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estando à proposição em consonância com a legislação em vigor e, portanto, apta à regular tramitação por esta Casa de Leis. Por fim, importante consignar que o projeto não acarretará aumento de despesas. </w:t>
      </w:r>
      <w:r w:rsidR="00651A8A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651A8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as Comissões favoravelmente à tramitação do </w:t>
      </w:r>
      <w:r w:rsidR="00651A8A" w:rsidRPr="00063C88">
        <w:rPr>
          <w:rFonts w:ascii="Times New Roman" w:hAnsi="Times New Roman" w:cs="Times New Roman"/>
          <w:color w:val="000000" w:themeColor="text1"/>
          <w:sz w:val="24"/>
          <w:szCs w:val="24"/>
        </w:rPr>
        <w:t>Projeto de Resolução n.º 004, de 20 de julho de 2023.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1A8A" w:rsidRPr="001442C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005, de 03 de agosto de 2023 do Legislativo</w:t>
      </w:r>
      <w:r w:rsidR="00651A8A" w:rsidRPr="00144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Relatório: </w:t>
      </w:r>
      <w:r w:rsidR="00651A8A" w:rsidRPr="00144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autoria do Vereador Gilmar Schmidt, o Projeto de Lei tem por objetivo Declarar de Utilidade Pública a Associação de Agricultores Sete de Setembro, entidade sem fins econômicos, localizada na Linha Sete de Setembro, Zona Rural, no município de Renascença, inscrita no CNPJ sob o n.º 43.563.524/0001-01. Na justificativa, que acompanha o projeto, destaca o 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nobre </w:t>
      </w:r>
      <w:r w:rsidR="00651A8A" w:rsidRPr="00144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parlamentar que: “atualmente há 12 famílias associadas às quais participam das atividades desenvolvidas pela associação, especialmente voltadas à organização da produção e comercialização de hortifrutigranjeiros junto aos programas institucionais de alimentação escolar e de aquisição de alimentos da agricultura familiar. A concessão do título é necessária para que a entidade possa estabelecer parceiras em busca de convênios e recursos, bem como possa participar de licitações do Poder Público para concessão de maquinários agrícolas”. É o relatório. </w:t>
      </w:r>
      <w:r w:rsidR="00651A8A" w:rsidRPr="00144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651A8A" w:rsidRPr="001442C3">
        <w:rPr>
          <w:rFonts w:ascii="Times New Roman" w:hAnsi="Times New Roman" w:cs="Times New Roman"/>
          <w:color w:val="000000" w:themeColor="text1"/>
          <w:sz w:val="24"/>
          <w:szCs w:val="24"/>
        </w:rPr>
        <w:t>Do exame da proposição, verifica-se que a iniciativa parlamentar está articulada de acordo com a Constituição Federal, a Lei Orgânica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 e o Regimento Interno</w:t>
      </w:r>
      <w:r w:rsidR="00651A8A" w:rsidRPr="001442C3">
        <w:rPr>
          <w:rFonts w:ascii="Times New Roman" w:hAnsi="Times New Roman" w:cs="Times New Roman"/>
          <w:color w:val="000000" w:themeColor="text1"/>
          <w:sz w:val="24"/>
          <w:szCs w:val="24"/>
        </w:rPr>
        <w:t>. Dispõe o artigo 56 da Lei Orgânica: “</w:t>
      </w:r>
      <w:r w:rsidR="00651A8A" w:rsidRPr="00324401">
        <w:rPr>
          <w:rFonts w:ascii="Times New Roman" w:hAnsi="Times New Roman" w:cs="Times New Roman"/>
          <w:bCs/>
          <w:sz w:val="24"/>
          <w:szCs w:val="24"/>
        </w:rPr>
        <w:t>Art. 56</w:t>
      </w:r>
      <w:r w:rsidR="00651A8A" w:rsidRPr="00144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A8A" w:rsidRPr="001442C3">
        <w:rPr>
          <w:rFonts w:ascii="Times New Roman" w:hAnsi="Times New Roman" w:cs="Times New Roman"/>
          <w:sz w:val="24"/>
          <w:szCs w:val="24"/>
        </w:rPr>
        <w:t>- A iniciativa de leis complementares e ordinárias cabe a qualquer Vereador ou</w:t>
      </w:r>
      <w:r w:rsidR="00651A8A">
        <w:rPr>
          <w:rFonts w:ascii="Times New Roman" w:hAnsi="Times New Roman" w:cs="Times New Roman"/>
          <w:sz w:val="24"/>
          <w:szCs w:val="24"/>
        </w:rPr>
        <w:t xml:space="preserve"> </w:t>
      </w:r>
      <w:r w:rsidR="00651A8A" w:rsidRPr="001442C3">
        <w:rPr>
          <w:rFonts w:ascii="Times New Roman" w:hAnsi="Times New Roman" w:cs="Times New Roman"/>
          <w:sz w:val="24"/>
          <w:szCs w:val="24"/>
        </w:rPr>
        <w:t>Comissão da Câmara, ao Prefeito Municipal e aos cidadãos, na forma e nos casos previstos nesta</w:t>
      </w:r>
      <w:r w:rsidR="00651A8A">
        <w:rPr>
          <w:rFonts w:ascii="Times New Roman" w:hAnsi="Times New Roman" w:cs="Times New Roman"/>
          <w:sz w:val="24"/>
          <w:szCs w:val="24"/>
        </w:rPr>
        <w:t xml:space="preserve"> </w:t>
      </w:r>
      <w:r w:rsidR="00651A8A" w:rsidRPr="001442C3">
        <w:rPr>
          <w:rFonts w:ascii="Times New Roman" w:hAnsi="Times New Roman" w:cs="Times New Roman"/>
          <w:sz w:val="24"/>
          <w:szCs w:val="24"/>
        </w:rPr>
        <w:t>Lei Orgânica.</w:t>
      </w:r>
      <w:r w:rsidR="00651A8A">
        <w:rPr>
          <w:rFonts w:ascii="Times New Roman" w:hAnsi="Times New Roman" w:cs="Times New Roman"/>
          <w:sz w:val="24"/>
          <w:szCs w:val="24"/>
        </w:rPr>
        <w:t xml:space="preserve">”. No mesmo sentido, por simetria, prescreve o artigo 61, </w:t>
      </w:r>
      <w:r w:rsidR="00651A8A" w:rsidRPr="00014EE0">
        <w:rPr>
          <w:rFonts w:ascii="Times New Roman" w:hAnsi="Times New Roman" w:cs="Times New Roman"/>
          <w:i/>
          <w:sz w:val="24"/>
          <w:szCs w:val="24"/>
        </w:rPr>
        <w:t>caput,</w:t>
      </w:r>
      <w:r w:rsidR="00651A8A">
        <w:rPr>
          <w:rFonts w:ascii="Times New Roman" w:hAnsi="Times New Roman" w:cs="Times New Roman"/>
          <w:sz w:val="24"/>
          <w:szCs w:val="24"/>
        </w:rPr>
        <w:t xml:space="preserve"> da Constituição Federal. Assim, resta perfeita a legitimidade parlamentar. Por sua vez, no que tange ao aspecto material, dispõe o artigo 17, inciso XVIII da Lei Orgânica: </w:t>
      </w:r>
      <w:r w:rsidR="00651A8A" w:rsidRPr="008A7E4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651A8A" w:rsidRPr="008A7E4E">
        <w:rPr>
          <w:rFonts w:ascii="Times New Roman" w:hAnsi="Times New Roman" w:cs="Times New Roman"/>
          <w:i/>
          <w:sz w:val="24"/>
          <w:szCs w:val="24"/>
        </w:rPr>
        <w:t>Art. 17 - Cabe à Câmara Municipal, com a sanção do Prefeito, legislar sobre as matérias de competência do Município e, especialmente sobre: (...) XVIII - conceder o certificado de utilidade pública municipal às entidades que preencham os requisitos legais, como forma de reconhecimento dos benefícios proporcionados e a importância de sua atuação junto à sociedade”.</w:t>
      </w:r>
      <w:r w:rsidR="00651A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1A8A" w:rsidRPr="00B015EF">
        <w:rPr>
          <w:rFonts w:ascii="Times New Roman" w:hAnsi="Times New Roman" w:cs="Times New Roman"/>
          <w:sz w:val="24"/>
          <w:szCs w:val="24"/>
        </w:rPr>
        <w:t xml:space="preserve">Em harmonia com a Lei Orgânica, foi aprovada </w:t>
      </w:r>
      <w:r w:rsidR="00651A8A">
        <w:rPr>
          <w:rFonts w:ascii="Times New Roman" w:hAnsi="Times New Roman" w:cs="Times New Roman"/>
          <w:sz w:val="24"/>
          <w:szCs w:val="24"/>
        </w:rPr>
        <w:t xml:space="preserve">por esta Casa de Leis </w:t>
      </w:r>
      <w:r w:rsidR="00651A8A" w:rsidRPr="00B015EF">
        <w:rPr>
          <w:rFonts w:ascii="Times New Roman" w:hAnsi="Times New Roman" w:cs="Times New Roman"/>
          <w:sz w:val="24"/>
          <w:szCs w:val="24"/>
        </w:rPr>
        <w:t>a</w:t>
      </w:r>
      <w:r w:rsidR="00651A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1A8A">
        <w:rPr>
          <w:rFonts w:ascii="Times New Roman" w:hAnsi="Times New Roman" w:cs="Times New Roman"/>
          <w:sz w:val="24"/>
          <w:szCs w:val="24"/>
        </w:rPr>
        <w:t xml:space="preserve">Lei Municipal n.º 1692, de 07 de julho de 2020, a qual tratou de estabelecer os requisitos para concessão do título de utilidade pública as entidades privadas sem fins lucrativos. Assim, em atendimento a legislação vigente, observa-se que o autor anexou a documentação comprobatória do preenchimento dos requisitos da Lei n.º 1692, de 07 de julho de 2020.  </w:t>
      </w:r>
      <w:r w:rsidR="00651A8A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651A8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as Comissões favoravelmente à tramitação do </w:t>
      </w:r>
      <w:r w:rsidR="00651A8A" w:rsidRPr="00014EE0">
        <w:rPr>
          <w:rFonts w:ascii="Times New Roman" w:hAnsi="Times New Roman" w:cs="Times New Roman"/>
          <w:color w:val="000000" w:themeColor="text1"/>
          <w:sz w:val="24"/>
          <w:szCs w:val="24"/>
        </w:rPr>
        <w:t>Projeto de Lei n.º 005, de 03 de agosto de 2023 do Legislativo.</w:t>
      </w:r>
      <w:r w:rsidR="00651A8A" w:rsidRPr="001C19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006/2023 do Legislativo</w:t>
      </w:r>
      <w:r w:rsidR="00651A8A" w:rsidRPr="001C19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Relatório: </w:t>
      </w:r>
      <w:r w:rsidR="00651A8A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de Lei n.º 006/2023 do Legislativo, de autoria do Vereador </w:t>
      </w:r>
      <w:proofErr w:type="spellStart"/>
      <w:r w:rsidR="00651A8A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>Vanderson</w:t>
      </w:r>
      <w:proofErr w:type="spellEnd"/>
      <w:r w:rsidR="00651A8A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Rodrigo </w:t>
      </w:r>
      <w:proofErr w:type="spellStart"/>
      <w:r w:rsidR="00651A8A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>Zanini</w:t>
      </w:r>
      <w:proofErr w:type="spellEnd"/>
      <w:r w:rsidR="00651A8A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busca denominar de “Rua Otavio Gonçalves Padilha” a atual Rua n.º 01, situada no Parque/Área Industrial II, que tem início com ligação a Rua Marechal Hermes da Fonseca e ao lado direito está localizado o Parque </w:t>
      </w:r>
      <w:proofErr w:type="spellStart"/>
      <w:r w:rsidR="00651A8A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>Yara</w:t>
      </w:r>
      <w:proofErr w:type="spellEnd"/>
      <w:r w:rsidR="00651A8A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Mãe d’Água. Na justificativa, que acompanha o projeto, destaca o 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nobre </w:t>
      </w:r>
      <w:r w:rsidR="00651A8A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>parlamentar que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51A8A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“o Sr. Otavio Gonçalves Padilha teve uma trajetória sendo o Primeiro Prefeito eleito em nome Município, logo é pertinente dizer que ele é parte fundamental do início e da história de nossa cidade, assim, merecedor da presente homenagem”. É o relatório. </w:t>
      </w:r>
      <w:r w:rsidR="00651A8A" w:rsidRPr="001C19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Análise da matéria: </w:t>
      </w:r>
      <w:r w:rsidR="00651A8A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>Do exame da proposição, verifica-se que a iniciativa do parlamentar está em consonância com as normas regimentais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Constituição Federal </w:t>
      </w:r>
      <w:r w:rsidR="00651A8A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51A8A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 Orgânica. </w:t>
      </w:r>
      <w:r w:rsidR="00651A8A" w:rsidRPr="001442C3">
        <w:rPr>
          <w:rFonts w:ascii="Times New Roman" w:hAnsi="Times New Roman" w:cs="Times New Roman"/>
          <w:color w:val="000000" w:themeColor="text1"/>
          <w:sz w:val="24"/>
          <w:szCs w:val="24"/>
        </w:rPr>
        <w:t>Dispõe o artigo 56 da Lei Orgânica: “</w:t>
      </w:r>
      <w:r w:rsidR="00651A8A" w:rsidRPr="00324401">
        <w:rPr>
          <w:rFonts w:ascii="Times New Roman" w:hAnsi="Times New Roman" w:cs="Times New Roman"/>
          <w:bCs/>
          <w:sz w:val="24"/>
          <w:szCs w:val="24"/>
        </w:rPr>
        <w:t>Art. 56</w:t>
      </w:r>
      <w:r w:rsidR="00651A8A" w:rsidRPr="00144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A8A" w:rsidRPr="001442C3">
        <w:rPr>
          <w:rFonts w:ascii="Times New Roman" w:hAnsi="Times New Roman" w:cs="Times New Roman"/>
          <w:sz w:val="24"/>
          <w:szCs w:val="24"/>
        </w:rPr>
        <w:t>- A iniciativa de leis complementares e ordinárias cabe a qualquer Vereador ou</w:t>
      </w:r>
      <w:r w:rsidR="00651A8A">
        <w:rPr>
          <w:rFonts w:ascii="Times New Roman" w:hAnsi="Times New Roman" w:cs="Times New Roman"/>
          <w:sz w:val="24"/>
          <w:szCs w:val="24"/>
        </w:rPr>
        <w:t xml:space="preserve"> </w:t>
      </w:r>
      <w:r w:rsidR="00651A8A" w:rsidRPr="001442C3">
        <w:rPr>
          <w:rFonts w:ascii="Times New Roman" w:hAnsi="Times New Roman" w:cs="Times New Roman"/>
          <w:sz w:val="24"/>
          <w:szCs w:val="24"/>
        </w:rPr>
        <w:t>Comissão da Câmara, ao Prefeito Municipal e aos cidadãos, na forma e nos casos previstos nesta</w:t>
      </w:r>
      <w:r w:rsidR="00651A8A">
        <w:rPr>
          <w:rFonts w:ascii="Times New Roman" w:hAnsi="Times New Roman" w:cs="Times New Roman"/>
          <w:sz w:val="24"/>
          <w:szCs w:val="24"/>
        </w:rPr>
        <w:t xml:space="preserve"> Lei Orgânica”. 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Ainda, de acordo com o </w:t>
      </w:r>
      <w:r w:rsidR="00651A8A" w:rsidRPr="001C191D">
        <w:rPr>
          <w:rFonts w:ascii="Times New Roman" w:hAnsi="Times New Roman" w:cs="Times New Roman"/>
          <w:color w:val="000000" w:themeColor="text1"/>
          <w:sz w:val="24"/>
          <w:szCs w:val="24"/>
        </w:rPr>
        <w:t>artigo 17, inciso XIII da Lei Orgânica: “</w:t>
      </w:r>
      <w:r w:rsidR="00651A8A" w:rsidRPr="00800071">
        <w:rPr>
          <w:rFonts w:ascii="Times New Roman" w:hAnsi="Times New Roman" w:cs="Times New Roman"/>
          <w:bCs/>
          <w:sz w:val="24"/>
          <w:szCs w:val="24"/>
        </w:rPr>
        <w:t>Art. 17</w:t>
      </w:r>
      <w:r w:rsidR="00651A8A" w:rsidRPr="001C1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A8A" w:rsidRPr="001C191D">
        <w:rPr>
          <w:rFonts w:ascii="Times New Roman" w:hAnsi="Times New Roman" w:cs="Times New Roman"/>
          <w:sz w:val="24"/>
          <w:szCs w:val="24"/>
        </w:rPr>
        <w:t>- Cabe à Câmara Municipal, com a sanção do Prefeito, legislar sobre as matérias</w:t>
      </w:r>
      <w:r w:rsidR="00651A8A">
        <w:rPr>
          <w:rFonts w:ascii="Times New Roman" w:hAnsi="Times New Roman" w:cs="Times New Roman"/>
          <w:sz w:val="24"/>
          <w:szCs w:val="24"/>
        </w:rPr>
        <w:t xml:space="preserve"> </w:t>
      </w:r>
      <w:r w:rsidR="00651A8A" w:rsidRPr="001C191D">
        <w:rPr>
          <w:rFonts w:ascii="Times New Roman" w:hAnsi="Times New Roman" w:cs="Times New Roman"/>
          <w:sz w:val="24"/>
          <w:szCs w:val="24"/>
        </w:rPr>
        <w:t>de competência do Município e, especialmente sobre: (...)</w:t>
      </w:r>
      <w:r w:rsidR="00651A8A">
        <w:rPr>
          <w:rFonts w:ascii="Times New Roman" w:hAnsi="Times New Roman" w:cs="Times New Roman"/>
          <w:sz w:val="24"/>
          <w:szCs w:val="24"/>
        </w:rPr>
        <w:t xml:space="preserve"> </w:t>
      </w:r>
      <w:r w:rsidR="00651A8A" w:rsidRPr="00E225DA">
        <w:rPr>
          <w:rFonts w:ascii="Times New Roman" w:hAnsi="Times New Roman" w:cs="Times New Roman"/>
          <w:i/>
          <w:sz w:val="24"/>
          <w:szCs w:val="24"/>
        </w:rPr>
        <w:t>XIII – denominações de próprios municipais, vias e logradouros públicos, bem como alterações de denominações existentes;</w:t>
      </w:r>
      <w:r w:rsidR="00651A8A" w:rsidRPr="001C191D">
        <w:rPr>
          <w:rFonts w:ascii="Times New Roman" w:hAnsi="Times New Roman" w:cs="Times New Roman"/>
          <w:sz w:val="24"/>
          <w:szCs w:val="24"/>
        </w:rPr>
        <w:t xml:space="preserve"> (...)”. </w:t>
      </w:r>
      <w:r w:rsidR="00651A8A">
        <w:rPr>
          <w:rFonts w:ascii="Times New Roman" w:hAnsi="Times New Roman" w:cs="Times New Roman"/>
          <w:sz w:val="24"/>
          <w:szCs w:val="24"/>
        </w:rPr>
        <w:t>Por sua vez, verifica-se que o</w:t>
      </w:r>
      <w:r w:rsidR="00651A8A" w:rsidRPr="001C191D">
        <w:rPr>
          <w:rFonts w:ascii="Times New Roman" w:hAnsi="Times New Roman" w:cs="Times New Roman"/>
          <w:sz w:val="24"/>
          <w:szCs w:val="24"/>
        </w:rPr>
        <w:t xml:space="preserve"> projeto atende </w:t>
      </w:r>
      <w:r w:rsidR="00651A8A">
        <w:rPr>
          <w:rFonts w:ascii="Times New Roman" w:hAnsi="Times New Roman" w:cs="Times New Roman"/>
          <w:sz w:val="24"/>
          <w:szCs w:val="24"/>
        </w:rPr>
        <w:t>a</w:t>
      </w:r>
      <w:r w:rsidR="00651A8A" w:rsidRPr="001C191D">
        <w:rPr>
          <w:rFonts w:ascii="Times New Roman" w:hAnsi="Times New Roman" w:cs="Times New Roman"/>
          <w:sz w:val="24"/>
          <w:szCs w:val="24"/>
        </w:rPr>
        <w:t xml:space="preserve">os requisitos </w:t>
      </w:r>
      <w:r w:rsidR="00651A8A">
        <w:rPr>
          <w:rFonts w:ascii="Times New Roman" w:hAnsi="Times New Roman" w:cs="Times New Roman"/>
          <w:sz w:val="24"/>
          <w:szCs w:val="24"/>
        </w:rPr>
        <w:t xml:space="preserve">legais previstos no Código de Posturas do Município de Renascença (Lei Complementar n.º 029, de 27 de maio de 2020). Em atendimento a legislação, o autor da proposta apresentou certidão de óbito e histórico/bibliografia do homenageado, que foi o Primeiro Prefeito eleito do Município de Renascença e, assim, construindo parte da história do município. </w:t>
      </w:r>
      <w:r w:rsidR="00651A8A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651A8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as Comissões favoravelmente à tramitação do </w:t>
      </w:r>
      <w:r w:rsidR="00651A8A" w:rsidRPr="00063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Projeto de </w:t>
      </w:r>
      <w:r w:rsidR="00651A8A" w:rsidRPr="00800071">
        <w:rPr>
          <w:rFonts w:ascii="Times New Roman" w:hAnsi="Times New Roman" w:cs="Times New Roman"/>
          <w:color w:val="000000" w:themeColor="text1"/>
          <w:sz w:val="24"/>
          <w:szCs w:val="24"/>
        </w:rPr>
        <w:t>Lei n.º 006/2023 do Legislativo.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1A8A" w:rsidRPr="00E811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031/2023, de 31 de julho de 2023</w:t>
      </w:r>
      <w:r w:rsidR="00651A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651A8A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Relatório: </w:t>
      </w:r>
      <w:r w:rsidR="00651A8A" w:rsidRPr="004E346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51A8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Chefe do Poder Executivo submete à apreciação desta Casa 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Legislativa </w:t>
      </w:r>
      <w:r w:rsidR="00651A8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o Projeto de Lei n.º 0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651A8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>31 de julho de 2023</w:t>
      </w:r>
      <w:r w:rsidR="00651A8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>que autoriza o Executivo Municipal a alterar ação orçamentária da despesa, e adequar à receita orçamentária no Plano Plurianual – PPA para o quadriênio de 2022 a 2025, o qual foi aprovado através da Lei Municipal nº 1748, de 29 de julho de 2021, e dá outras providências. Em resumo, justifica o Chefe do Poder Executivo que: “(...) o projeto em questão tem por finalidade ajustar o PPA elaborado para o período de 2022 a 2025 (nesta caso, especificamente para 2024) para elaboração da Lei de Diretrizes Orçamentárias – LDO para o exercício financeiro de 2024, e posteriormente para a Lei Orçamentária Anual – LOA referente ao exercício financeiro de 2024. Este ajuste é para reforçar a rubrica 9.9.99.99.99 – Reserva de Contingência, a qual servirá como fonte de suplementação das Emendas Impositivas: de Bancadas e Individuais, as quais serão apresentadas pelos Nobres Edis quando da elaboração da lei Orçamentária Anual – LOA para o exercício financeiro de 2024”. É</w:t>
      </w:r>
      <w:r w:rsidR="00651A8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relatório. </w:t>
      </w:r>
      <w:r w:rsidR="00651A8A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651A8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exame da proposição, verifica-se que a iniciativa do Poder Executivo está 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harmonia </w:t>
      </w:r>
      <w:r w:rsidR="00651A8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 Constituição Federal e a Lei Orgânica. 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é cediço cabe ao Executivo Municipal propor alterações nos planos orçamentários, nos termos do artigo 165 da Constituição Federal c/c artigo 139 da Lei Orgânica municipal. A </w:t>
      </w:r>
      <w:r w:rsidR="00651A8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proposta 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>tem por finalidade fazer uma adequação no Plano Plurianual de Investimentos – PPA, tendo em vista as alterações promovidas quando da elaboração da LDO para 2024, bem como aumentar a reserva de contingência que será também utilizada como suplementação para emendas impositivas (individuais e de bancadas).</w:t>
      </w:r>
      <w:r w:rsidR="00651A8A">
        <w:rPr>
          <w:rFonts w:ascii="Times New Roman" w:hAnsi="Times New Roman" w:cs="Times New Roman"/>
          <w:sz w:val="24"/>
          <w:szCs w:val="24"/>
        </w:rPr>
        <w:t xml:space="preserve"> </w:t>
      </w:r>
      <w:r w:rsidR="00651A8A" w:rsidRPr="008A0619">
        <w:rPr>
          <w:rFonts w:ascii="Times New Roman" w:hAnsi="Times New Roman" w:cs="Times New Roman"/>
          <w:sz w:val="24"/>
          <w:szCs w:val="24"/>
        </w:rPr>
        <w:t>Assim</w:t>
      </w:r>
      <w:r w:rsidR="00651A8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651A8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/2023, de 2023, do Executivo Municipal.</w:t>
      </w:r>
      <w:r w:rsidR="00651A8A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651A8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>31/</w:t>
      </w:r>
      <w:r w:rsidR="00651A8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2023, de 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 de julho de 2023. </w:t>
      </w:r>
      <w:r w:rsidR="00651A8A" w:rsidRPr="00BC4E3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033, de 07 de agosto de 2023.</w:t>
      </w:r>
      <w:r w:rsidR="00651A8A" w:rsidRPr="00BC4E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651A8A" w:rsidRPr="0032425A">
        <w:rPr>
          <w:rFonts w:ascii="Times New Roman" w:hAnsi="Times New Roman" w:cs="Times New Roman"/>
          <w:color w:val="000000" w:themeColor="text1"/>
          <w:sz w:val="24"/>
          <w:szCs w:val="24"/>
        </w:rPr>
        <w:t>Também, foi encaminhado para análise das Comissões o</w:t>
      </w:r>
      <w:r w:rsidR="00651A8A" w:rsidRPr="00BC4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Projeto de Lei n.º 033, de 07 de agosto de 2023, 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qual </w:t>
      </w:r>
      <w:r w:rsidR="00651A8A" w:rsidRPr="00BC4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solicita autorização </w:t>
      </w:r>
      <w:r w:rsidR="00651A8A" w:rsidRPr="00BC4E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legislativa para que o Poder Executivo Municipal possa promover a desafetação e a Concessão de Direito Real de Uso do lote nº 12 – Remanescente A, da Gleba Barra do Marmeleiro – Secção B. De acordo com o artigo 1º pretende o Chefe do Executivo </w:t>
      </w:r>
      <w:proofErr w:type="spellStart"/>
      <w:r w:rsidR="00651A8A" w:rsidRPr="00BC4E3A">
        <w:rPr>
          <w:rFonts w:ascii="Times New Roman" w:hAnsi="Times New Roman" w:cs="Times New Roman"/>
          <w:color w:val="000000" w:themeColor="text1"/>
          <w:sz w:val="24"/>
          <w:szCs w:val="24"/>
        </w:rPr>
        <w:t>desafetar</w:t>
      </w:r>
      <w:proofErr w:type="spellEnd"/>
      <w:r w:rsidR="00651A8A" w:rsidRPr="00BC4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promover licitação, na modalidade concorrência, para efetuar a Concessão de Direito Real de Uso, a título oneroso, dos seguinte imóvel: Lote nº 12 – Remanescente A, da Gleba Barra do Marmeleiro – Secção B, com área de 4.125,40 m2 (quatro mil, cento e vinte e cinco metros e quarenta decímetros quadrados), matricula nº 10.354, registrada no Cartório de Registro de Imóveis da Comarca de Marmeleiro, de propriedade do Município de Renascença, avaliado em R$ 32.466,90 (Trinta e dois mil, quatrocentos e sessenta e seis reais e noventa centavos), pela Comissão Especial de Avaliação designada pelo Decreto nº 2369/2023. Consta do 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51A8A" w:rsidRPr="00BC4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rojeto 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Lei </w:t>
      </w:r>
      <w:r w:rsidR="00651A8A" w:rsidRPr="00BC4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a concessão será formalizada em razão do interesse público, que é a geração de empregos e renda para o Município, com incentivo à instalação e ampliação de empresas, conforme disposições da Lei Orgânica. É o relatório. </w:t>
      </w:r>
      <w:r w:rsidR="00651A8A" w:rsidRPr="00BC4E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651A8A" w:rsidRPr="00BC4E3A">
        <w:rPr>
          <w:rFonts w:ascii="Times New Roman" w:hAnsi="Times New Roman" w:cs="Times New Roman"/>
          <w:sz w:val="24"/>
          <w:szCs w:val="24"/>
        </w:rPr>
        <w:t>A proposição é de autoria do Prefeito Municipal, ao qual compete exclusivamente à gestão dos bens públicos municipais, nos termos do artigo 166 da Lei Orgânica</w:t>
      </w:r>
      <w:r w:rsidR="00651A8A">
        <w:rPr>
          <w:rFonts w:ascii="Times New Roman" w:hAnsi="Times New Roman" w:cs="Times New Roman"/>
          <w:sz w:val="24"/>
          <w:szCs w:val="24"/>
        </w:rPr>
        <w:t xml:space="preserve">. Ainda, de acordo com o artigo 17, inciso VII da Lei Orgânica, compete a </w:t>
      </w:r>
      <w:r w:rsidR="00651A8A" w:rsidRPr="00BC4E3A">
        <w:rPr>
          <w:rFonts w:ascii="Times New Roman" w:hAnsi="Times New Roman" w:cs="Times New Roman"/>
          <w:sz w:val="24"/>
          <w:szCs w:val="24"/>
        </w:rPr>
        <w:t xml:space="preserve">Câmara Municipal </w:t>
      </w:r>
      <w:r w:rsidR="00651A8A">
        <w:rPr>
          <w:rFonts w:ascii="Times New Roman" w:hAnsi="Times New Roman" w:cs="Times New Roman"/>
          <w:sz w:val="24"/>
          <w:szCs w:val="24"/>
        </w:rPr>
        <w:t>“</w:t>
      </w:r>
      <w:r w:rsidR="00651A8A" w:rsidRPr="00BC4E3A">
        <w:rPr>
          <w:rFonts w:ascii="Times New Roman" w:hAnsi="Times New Roman" w:cs="Times New Roman"/>
          <w:sz w:val="24"/>
          <w:szCs w:val="24"/>
        </w:rPr>
        <w:t>autorizar a concessão administrativa de uso e a concessão de direito real de uso de</w:t>
      </w:r>
      <w:r w:rsidR="00651A8A">
        <w:rPr>
          <w:rFonts w:ascii="Times New Roman" w:hAnsi="Times New Roman" w:cs="Times New Roman"/>
          <w:sz w:val="24"/>
          <w:szCs w:val="24"/>
        </w:rPr>
        <w:t xml:space="preserve"> </w:t>
      </w:r>
      <w:r w:rsidR="00651A8A" w:rsidRPr="00BC4E3A">
        <w:rPr>
          <w:rFonts w:ascii="Times New Roman" w:hAnsi="Times New Roman" w:cs="Times New Roman"/>
          <w:sz w:val="24"/>
          <w:szCs w:val="24"/>
        </w:rPr>
        <w:t>bens municipais</w:t>
      </w:r>
      <w:r w:rsidR="00651A8A">
        <w:rPr>
          <w:rFonts w:ascii="Times New Roman" w:hAnsi="Times New Roman" w:cs="Times New Roman"/>
          <w:sz w:val="24"/>
          <w:szCs w:val="24"/>
        </w:rPr>
        <w:t>”.</w:t>
      </w:r>
      <w:r w:rsidR="00651A8A" w:rsidRPr="00BC4E3A">
        <w:rPr>
          <w:rFonts w:ascii="Times New Roman" w:hAnsi="Times New Roman" w:cs="Times New Roman"/>
          <w:sz w:val="24"/>
          <w:szCs w:val="24"/>
        </w:rPr>
        <w:t xml:space="preserve"> No âmbito municipal, a concessão de direito real de uso é disciplinada nos artigos 170, 172 e 175 da Lei Orgânica. Pelas disposições normativas, é possível perceber que deverá o Município dar preferência à concessão de direito real de uso ao invés da venda. Além disso, a concessão deverá ser precedida de licitação e autorização legislativa. No mesmo sentido é o entendimento do Tribunal de Contas do Paraná, conforme se observa da Súmula n.º 01, </w:t>
      </w:r>
      <w:r w:rsidR="00651A8A" w:rsidRPr="00BC4E3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651A8A" w:rsidRPr="00BC4E3A">
        <w:rPr>
          <w:rFonts w:ascii="Times New Roman" w:hAnsi="Times New Roman" w:cs="Times New Roman"/>
          <w:i/>
          <w:sz w:val="24"/>
          <w:szCs w:val="24"/>
        </w:rPr>
        <w:t>verbis</w:t>
      </w:r>
      <w:proofErr w:type="spellEnd"/>
      <w:r w:rsidR="00651A8A" w:rsidRPr="00BC4E3A">
        <w:rPr>
          <w:rFonts w:ascii="Times New Roman" w:hAnsi="Times New Roman" w:cs="Times New Roman"/>
          <w:sz w:val="24"/>
          <w:szCs w:val="24"/>
        </w:rPr>
        <w:t>: “</w:t>
      </w:r>
      <w:r w:rsidR="00651A8A" w:rsidRPr="00BC4E3A">
        <w:rPr>
          <w:rFonts w:ascii="Times New Roman" w:hAnsi="Times New Roman" w:cs="Times New Roman"/>
          <w:i/>
          <w:sz w:val="24"/>
          <w:szCs w:val="24"/>
        </w:rPr>
        <w:t xml:space="preserve">Preferência pela utilização da Concessão de Direito Real Uso, em substituição a maioria das alienações de terrenos públicos, em razão de sua </w:t>
      </w:r>
      <w:proofErr w:type="spellStart"/>
      <w:r w:rsidR="00651A8A" w:rsidRPr="00BC4E3A">
        <w:rPr>
          <w:rFonts w:ascii="Times New Roman" w:hAnsi="Times New Roman" w:cs="Times New Roman"/>
          <w:i/>
          <w:sz w:val="24"/>
          <w:szCs w:val="24"/>
        </w:rPr>
        <w:t>vantajosidade</w:t>
      </w:r>
      <w:proofErr w:type="spellEnd"/>
      <w:r w:rsidR="00651A8A" w:rsidRPr="00BC4E3A">
        <w:rPr>
          <w:rFonts w:ascii="Times New Roman" w:hAnsi="Times New Roman" w:cs="Times New Roman"/>
          <w:i/>
          <w:sz w:val="24"/>
          <w:szCs w:val="24"/>
        </w:rPr>
        <w:t xml:space="preserve">, visando fomentar à atividade econômica, observada prévia autorização legislativa e licitação na modalidade concorrência, exceto nos casos previstos no art. 17, inciso I, alínea “f” da Lei nº. 8.666/93. Caso o bem não seja utilizado para os fins consignados no contrato pelo concessionário, deverá reverter ao patrimônio público”. </w:t>
      </w:r>
      <w:r w:rsidR="00651A8A" w:rsidRPr="00BC4E3A">
        <w:rPr>
          <w:rFonts w:ascii="Times New Roman" w:hAnsi="Times New Roman" w:cs="Times New Roman"/>
          <w:sz w:val="24"/>
          <w:szCs w:val="24"/>
        </w:rPr>
        <w:t>Analisando a proposta,</w:t>
      </w:r>
      <w:r w:rsidR="00651A8A" w:rsidRPr="00BC4E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1A8A" w:rsidRPr="00BC4E3A">
        <w:rPr>
          <w:rFonts w:ascii="Times New Roman" w:hAnsi="Times New Roman" w:cs="Times New Roman"/>
          <w:sz w:val="24"/>
          <w:szCs w:val="24"/>
        </w:rPr>
        <w:t>observa-se que consta do projeto que a concessão será feita através de licitação, na modalidade concorrência.</w:t>
      </w:r>
      <w:r w:rsidR="00651A8A">
        <w:rPr>
          <w:rFonts w:ascii="Times New Roman" w:hAnsi="Times New Roman" w:cs="Times New Roman"/>
          <w:sz w:val="24"/>
          <w:szCs w:val="24"/>
        </w:rPr>
        <w:t xml:space="preserve"> Presente, ainda, o interesse público na aprovação da matéria, consistente na geração de renda e empregos no município. Além disso, verifica-se a </w:t>
      </w:r>
      <w:r w:rsidR="00651A8A" w:rsidRPr="00BC4E3A">
        <w:rPr>
          <w:rFonts w:ascii="Times New Roman" w:hAnsi="Times New Roman" w:cs="Times New Roman"/>
          <w:sz w:val="24"/>
          <w:szCs w:val="24"/>
        </w:rPr>
        <w:t xml:space="preserve">existência de cláusulas de revogação e reversão do bem ao patrimônio público, caso </w:t>
      </w:r>
      <w:r w:rsidR="00651A8A">
        <w:rPr>
          <w:rFonts w:ascii="Times New Roman" w:hAnsi="Times New Roman" w:cs="Times New Roman"/>
          <w:sz w:val="24"/>
          <w:szCs w:val="24"/>
        </w:rPr>
        <w:t xml:space="preserve">forem </w:t>
      </w:r>
      <w:r w:rsidR="00651A8A" w:rsidRPr="00BC4E3A">
        <w:rPr>
          <w:rFonts w:ascii="Times New Roman" w:hAnsi="Times New Roman" w:cs="Times New Roman"/>
          <w:sz w:val="24"/>
          <w:szCs w:val="24"/>
        </w:rPr>
        <w:t>descumpridas as disposições da lei, ou</w:t>
      </w:r>
      <w:r w:rsidR="00651A8A">
        <w:rPr>
          <w:rFonts w:ascii="Times New Roman" w:hAnsi="Times New Roman" w:cs="Times New Roman"/>
          <w:sz w:val="24"/>
          <w:szCs w:val="24"/>
        </w:rPr>
        <w:t>, então,</w:t>
      </w:r>
      <w:r w:rsidR="00651A8A" w:rsidRPr="00BC4E3A">
        <w:rPr>
          <w:rFonts w:ascii="Times New Roman" w:hAnsi="Times New Roman" w:cs="Times New Roman"/>
          <w:sz w:val="24"/>
          <w:szCs w:val="24"/>
        </w:rPr>
        <w:t xml:space="preserve"> se assim o exigir o interesse público (</w:t>
      </w:r>
      <w:proofErr w:type="spellStart"/>
      <w:r w:rsidR="00651A8A" w:rsidRPr="00BC4E3A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651A8A" w:rsidRPr="00BC4E3A">
        <w:rPr>
          <w:rFonts w:ascii="Times New Roman" w:hAnsi="Times New Roman" w:cs="Times New Roman"/>
          <w:sz w:val="24"/>
          <w:szCs w:val="24"/>
        </w:rPr>
        <w:t>. 6º e 9º</w:t>
      </w:r>
      <w:r w:rsidR="00651A8A">
        <w:rPr>
          <w:rFonts w:ascii="Times New Roman" w:hAnsi="Times New Roman" w:cs="Times New Roman"/>
          <w:sz w:val="24"/>
          <w:szCs w:val="24"/>
        </w:rPr>
        <w:t>, do projeto</w:t>
      </w:r>
      <w:r w:rsidR="00651A8A" w:rsidRPr="00BC4E3A">
        <w:rPr>
          <w:rFonts w:ascii="Times New Roman" w:hAnsi="Times New Roman" w:cs="Times New Roman"/>
          <w:sz w:val="24"/>
          <w:szCs w:val="24"/>
        </w:rPr>
        <w:t xml:space="preserve">). </w:t>
      </w:r>
      <w:r w:rsidR="00651A8A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651A8A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</w:t>
      </w:r>
      <w:r w:rsidR="00651A8A">
        <w:rPr>
          <w:rFonts w:ascii="Times New Roman" w:hAnsi="Times New Roman" w:cs="Times New Roman"/>
          <w:color w:val="000000" w:themeColor="text1"/>
          <w:sz w:val="24"/>
          <w:szCs w:val="24"/>
        </w:rPr>
        <w:t>33, de 07 de agosto de 2023.</w:t>
      </w:r>
    </w:p>
    <w:p w:rsidR="00665495" w:rsidRPr="00FA181D" w:rsidRDefault="00665495" w:rsidP="00665495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F99" w:rsidRPr="00FA181D" w:rsidRDefault="00DD7F99" w:rsidP="001B74B8">
      <w:pPr>
        <w:pStyle w:val="NormalWeb"/>
        <w:shd w:val="clear" w:color="auto" w:fill="FFFFFF"/>
        <w:spacing w:before="0" w:after="0"/>
        <w:jc w:val="both"/>
        <w:rPr>
          <w:szCs w:val="24"/>
        </w:rPr>
      </w:pPr>
      <w:bookmarkStart w:id="0" w:name="_GoBack"/>
      <w:bookmarkEnd w:id="0"/>
    </w:p>
    <w:p w:rsidR="008941D2" w:rsidRPr="00FA181D" w:rsidRDefault="008941D2" w:rsidP="008941D2">
      <w:pPr>
        <w:pStyle w:val="NormalWeb"/>
        <w:jc w:val="both"/>
        <w:rPr>
          <w:szCs w:val="24"/>
        </w:rPr>
      </w:pPr>
      <w:r w:rsidRPr="00FA181D">
        <w:rPr>
          <w:szCs w:val="24"/>
        </w:rPr>
        <w:t xml:space="preserve">1-                           </w:t>
      </w:r>
      <w:r w:rsidR="00FA181D" w:rsidRPr="00FA181D">
        <w:rPr>
          <w:szCs w:val="24"/>
        </w:rPr>
        <w:t xml:space="preserve">                             2-                </w:t>
      </w:r>
      <w:r w:rsidRPr="00FA181D">
        <w:rPr>
          <w:szCs w:val="24"/>
        </w:rPr>
        <w:t xml:space="preserve">       </w:t>
      </w:r>
      <w:r w:rsidR="00665495" w:rsidRPr="00FA181D">
        <w:rPr>
          <w:szCs w:val="24"/>
        </w:rPr>
        <w:t xml:space="preserve">                               </w:t>
      </w:r>
      <w:r w:rsidRPr="00FA181D">
        <w:rPr>
          <w:szCs w:val="24"/>
        </w:rPr>
        <w:t xml:space="preserve">   3-</w:t>
      </w:r>
    </w:p>
    <w:sectPr w:rsidR="008941D2" w:rsidRPr="00FA181D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1F" w:rsidRDefault="0025101F" w:rsidP="00E07FB4">
      <w:pPr>
        <w:spacing w:after="0" w:line="240" w:lineRule="auto"/>
      </w:pPr>
      <w:r>
        <w:separator/>
      </w:r>
    </w:p>
  </w:endnote>
  <w:endnote w:type="continuationSeparator" w:id="0">
    <w:p w:rsidR="0025101F" w:rsidRDefault="0025101F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1F" w:rsidRDefault="0025101F" w:rsidP="00E07FB4">
      <w:pPr>
        <w:spacing w:after="0" w:line="240" w:lineRule="auto"/>
      </w:pPr>
      <w:r>
        <w:separator/>
      </w:r>
    </w:p>
  </w:footnote>
  <w:footnote w:type="continuationSeparator" w:id="0">
    <w:p w:rsidR="0025101F" w:rsidRDefault="0025101F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10838"/>
    <w:rsid w:val="00022BD7"/>
    <w:rsid w:val="0002700E"/>
    <w:rsid w:val="00027F13"/>
    <w:rsid w:val="00091962"/>
    <w:rsid w:val="00092E05"/>
    <w:rsid w:val="000B20FF"/>
    <w:rsid w:val="000C10C7"/>
    <w:rsid w:val="000C13F8"/>
    <w:rsid w:val="000C771F"/>
    <w:rsid w:val="000D2A94"/>
    <w:rsid w:val="000D6FB9"/>
    <w:rsid w:val="000F00EA"/>
    <w:rsid w:val="000F1B3F"/>
    <w:rsid w:val="00103853"/>
    <w:rsid w:val="00111DA6"/>
    <w:rsid w:val="001178F7"/>
    <w:rsid w:val="00130119"/>
    <w:rsid w:val="00164FC0"/>
    <w:rsid w:val="00175A6B"/>
    <w:rsid w:val="00185510"/>
    <w:rsid w:val="001A013A"/>
    <w:rsid w:val="001A4F40"/>
    <w:rsid w:val="001B74B8"/>
    <w:rsid w:val="001C09D6"/>
    <w:rsid w:val="001C1E08"/>
    <w:rsid w:val="001C42B6"/>
    <w:rsid w:val="001C48E3"/>
    <w:rsid w:val="001D7175"/>
    <w:rsid w:val="001F6D62"/>
    <w:rsid w:val="00206DC2"/>
    <w:rsid w:val="00224569"/>
    <w:rsid w:val="0022654D"/>
    <w:rsid w:val="00233F02"/>
    <w:rsid w:val="0025101F"/>
    <w:rsid w:val="0026270F"/>
    <w:rsid w:val="002638A9"/>
    <w:rsid w:val="002652CB"/>
    <w:rsid w:val="002770FF"/>
    <w:rsid w:val="00280916"/>
    <w:rsid w:val="002A2B2F"/>
    <w:rsid w:val="002B2B19"/>
    <w:rsid w:val="002C4CBB"/>
    <w:rsid w:val="002C62D5"/>
    <w:rsid w:val="002C7C5F"/>
    <w:rsid w:val="002D3205"/>
    <w:rsid w:val="002D70C8"/>
    <w:rsid w:val="002E7AEF"/>
    <w:rsid w:val="002F1D0A"/>
    <w:rsid w:val="002F2302"/>
    <w:rsid w:val="002F507E"/>
    <w:rsid w:val="002F613C"/>
    <w:rsid w:val="00305317"/>
    <w:rsid w:val="00316467"/>
    <w:rsid w:val="00335F79"/>
    <w:rsid w:val="0037736A"/>
    <w:rsid w:val="00381C43"/>
    <w:rsid w:val="00385090"/>
    <w:rsid w:val="0039378C"/>
    <w:rsid w:val="003A0413"/>
    <w:rsid w:val="003B08AC"/>
    <w:rsid w:val="00404867"/>
    <w:rsid w:val="00421894"/>
    <w:rsid w:val="00464E09"/>
    <w:rsid w:val="00475966"/>
    <w:rsid w:val="004803DC"/>
    <w:rsid w:val="004A415D"/>
    <w:rsid w:val="004B3541"/>
    <w:rsid w:val="004B46D6"/>
    <w:rsid w:val="004B56A5"/>
    <w:rsid w:val="004C6185"/>
    <w:rsid w:val="004D13E5"/>
    <w:rsid w:val="004F34E5"/>
    <w:rsid w:val="005028E3"/>
    <w:rsid w:val="005042FB"/>
    <w:rsid w:val="005762E8"/>
    <w:rsid w:val="005778C8"/>
    <w:rsid w:val="005C25C4"/>
    <w:rsid w:val="005D1793"/>
    <w:rsid w:val="005E12B0"/>
    <w:rsid w:val="005E1E8F"/>
    <w:rsid w:val="005E3E8B"/>
    <w:rsid w:val="005F6383"/>
    <w:rsid w:val="00602C39"/>
    <w:rsid w:val="0061178A"/>
    <w:rsid w:val="00625B60"/>
    <w:rsid w:val="006305C9"/>
    <w:rsid w:val="0064018A"/>
    <w:rsid w:val="0064171C"/>
    <w:rsid w:val="00651A8A"/>
    <w:rsid w:val="00652FD7"/>
    <w:rsid w:val="00665495"/>
    <w:rsid w:val="006900F6"/>
    <w:rsid w:val="006915AB"/>
    <w:rsid w:val="006936F2"/>
    <w:rsid w:val="00693749"/>
    <w:rsid w:val="006A4202"/>
    <w:rsid w:val="006B1D3C"/>
    <w:rsid w:val="006B6D1E"/>
    <w:rsid w:val="006C208C"/>
    <w:rsid w:val="006D4DB7"/>
    <w:rsid w:val="00710FA7"/>
    <w:rsid w:val="0071173B"/>
    <w:rsid w:val="00723D82"/>
    <w:rsid w:val="00731595"/>
    <w:rsid w:val="00736CC4"/>
    <w:rsid w:val="007428FB"/>
    <w:rsid w:val="0075351C"/>
    <w:rsid w:val="00766660"/>
    <w:rsid w:val="007C3986"/>
    <w:rsid w:val="007C3B95"/>
    <w:rsid w:val="007D0796"/>
    <w:rsid w:val="007F37D2"/>
    <w:rsid w:val="008023D6"/>
    <w:rsid w:val="00803CBB"/>
    <w:rsid w:val="00816724"/>
    <w:rsid w:val="00830E90"/>
    <w:rsid w:val="00842CD1"/>
    <w:rsid w:val="00845E23"/>
    <w:rsid w:val="008554EF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E682F"/>
    <w:rsid w:val="008E6FFC"/>
    <w:rsid w:val="008F774A"/>
    <w:rsid w:val="00904B9B"/>
    <w:rsid w:val="009074CC"/>
    <w:rsid w:val="00907B10"/>
    <w:rsid w:val="00911AB1"/>
    <w:rsid w:val="00912DF4"/>
    <w:rsid w:val="00914B4C"/>
    <w:rsid w:val="00925E0B"/>
    <w:rsid w:val="00926FD5"/>
    <w:rsid w:val="009469E7"/>
    <w:rsid w:val="009554D8"/>
    <w:rsid w:val="00957070"/>
    <w:rsid w:val="0096233E"/>
    <w:rsid w:val="009675EC"/>
    <w:rsid w:val="00990268"/>
    <w:rsid w:val="00993A4E"/>
    <w:rsid w:val="009953EE"/>
    <w:rsid w:val="009A207A"/>
    <w:rsid w:val="009B5546"/>
    <w:rsid w:val="009C041F"/>
    <w:rsid w:val="009C6590"/>
    <w:rsid w:val="009D7491"/>
    <w:rsid w:val="009E736D"/>
    <w:rsid w:val="00A21AD1"/>
    <w:rsid w:val="00A2324E"/>
    <w:rsid w:val="00A274D1"/>
    <w:rsid w:val="00A27C1D"/>
    <w:rsid w:val="00A30CC9"/>
    <w:rsid w:val="00A337F8"/>
    <w:rsid w:val="00A371D4"/>
    <w:rsid w:val="00A46D64"/>
    <w:rsid w:val="00A53316"/>
    <w:rsid w:val="00A93991"/>
    <w:rsid w:val="00A9581C"/>
    <w:rsid w:val="00A95FC5"/>
    <w:rsid w:val="00AB2867"/>
    <w:rsid w:val="00AB605A"/>
    <w:rsid w:val="00AC017C"/>
    <w:rsid w:val="00AD2352"/>
    <w:rsid w:val="00AD2782"/>
    <w:rsid w:val="00AD4951"/>
    <w:rsid w:val="00AD7D52"/>
    <w:rsid w:val="00B03AFB"/>
    <w:rsid w:val="00B110ED"/>
    <w:rsid w:val="00B2527F"/>
    <w:rsid w:val="00B26D9C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B7CE1"/>
    <w:rsid w:val="00BF022F"/>
    <w:rsid w:val="00C45F86"/>
    <w:rsid w:val="00C4632F"/>
    <w:rsid w:val="00C53B39"/>
    <w:rsid w:val="00C55793"/>
    <w:rsid w:val="00C55CB7"/>
    <w:rsid w:val="00C71665"/>
    <w:rsid w:val="00C719AA"/>
    <w:rsid w:val="00C77BA4"/>
    <w:rsid w:val="00CB068C"/>
    <w:rsid w:val="00CC064E"/>
    <w:rsid w:val="00CC35CF"/>
    <w:rsid w:val="00CD7C28"/>
    <w:rsid w:val="00CE3372"/>
    <w:rsid w:val="00CE77CC"/>
    <w:rsid w:val="00CF3FCF"/>
    <w:rsid w:val="00CF4696"/>
    <w:rsid w:val="00CF6C6B"/>
    <w:rsid w:val="00D00F6D"/>
    <w:rsid w:val="00D16F85"/>
    <w:rsid w:val="00D633B3"/>
    <w:rsid w:val="00D9133B"/>
    <w:rsid w:val="00DB7B84"/>
    <w:rsid w:val="00DD07BF"/>
    <w:rsid w:val="00DD7F99"/>
    <w:rsid w:val="00DE385C"/>
    <w:rsid w:val="00E02E8A"/>
    <w:rsid w:val="00E04E3C"/>
    <w:rsid w:val="00E073AF"/>
    <w:rsid w:val="00E07FB4"/>
    <w:rsid w:val="00E13F4E"/>
    <w:rsid w:val="00E87210"/>
    <w:rsid w:val="00E90297"/>
    <w:rsid w:val="00E96A78"/>
    <w:rsid w:val="00EB372E"/>
    <w:rsid w:val="00EB60A9"/>
    <w:rsid w:val="00EB6D68"/>
    <w:rsid w:val="00EC1DBD"/>
    <w:rsid w:val="00ED60D8"/>
    <w:rsid w:val="00EE3544"/>
    <w:rsid w:val="00F1432A"/>
    <w:rsid w:val="00F270BE"/>
    <w:rsid w:val="00F454B7"/>
    <w:rsid w:val="00F50C94"/>
    <w:rsid w:val="00F6290D"/>
    <w:rsid w:val="00F738BC"/>
    <w:rsid w:val="00F84F33"/>
    <w:rsid w:val="00F95628"/>
    <w:rsid w:val="00FA181D"/>
    <w:rsid w:val="00FA38C6"/>
    <w:rsid w:val="00FA50E1"/>
    <w:rsid w:val="00FB2644"/>
    <w:rsid w:val="00FB266B"/>
    <w:rsid w:val="00FD2FF0"/>
    <w:rsid w:val="00FD55C3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2268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95</cp:revision>
  <cp:lastPrinted>2023-08-15T19:52:00Z</cp:lastPrinted>
  <dcterms:created xsi:type="dcterms:W3CDTF">2019-02-12T11:28:00Z</dcterms:created>
  <dcterms:modified xsi:type="dcterms:W3CDTF">2023-08-15T19:52:00Z</dcterms:modified>
</cp:coreProperties>
</file>