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5E" w:rsidRDefault="006900F6" w:rsidP="00CB075E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0991">
        <w:rPr>
          <w:rFonts w:ascii="Times New Roman" w:hAnsi="Times New Roman" w:cs="Times New Roman"/>
          <w:color w:val="000000"/>
        </w:rPr>
        <w:t>Ata da</w:t>
      </w:r>
      <w:r w:rsidR="00DA1A27" w:rsidRPr="00690991">
        <w:rPr>
          <w:rFonts w:ascii="Times New Roman" w:hAnsi="Times New Roman" w:cs="Times New Roman"/>
          <w:color w:val="000000"/>
        </w:rPr>
        <w:t xml:space="preserve"> </w:t>
      </w:r>
      <w:r w:rsidR="00CB075E">
        <w:rPr>
          <w:rFonts w:ascii="Times New Roman" w:hAnsi="Times New Roman" w:cs="Times New Roman"/>
          <w:color w:val="000000"/>
        </w:rPr>
        <w:t>terceira</w:t>
      </w:r>
      <w:r w:rsidR="004C74BB">
        <w:rPr>
          <w:rFonts w:ascii="Times New Roman" w:hAnsi="Times New Roman" w:cs="Times New Roman"/>
          <w:color w:val="000000"/>
        </w:rPr>
        <w:t xml:space="preserve"> </w:t>
      </w:r>
      <w:r w:rsidRPr="00690991">
        <w:rPr>
          <w:rFonts w:ascii="Times New Roman" w:hAnsi="Times New Roman" w:cs="Times New Roman"/>
          <w:color w:val="000000"/>
        </w:rPr>
        <w:t>reunião da C</w:t>
      </w:r>
      <w:r w:rsidR="00F454B7" w:rsidRPr="00690991">
        <w:rPr>
          <w:rFonts w:ascii="Times New Roman" w:hAnsi="Times New Roman" w:cs="Times New Roman"/>
          <w:color w:val="000000"/>
        </w:rPr>
        <w:t xml:space="preserve">omissão de </w:t>
      </w:r>
      <w:r w:rsidR="00ED60D8" w:rsidRPr="00690991">
        <w:rPr>
          <w:rFonts w:ascii="Times New Roman" w:hAnsi="Times New Roman" w:cs="Times New Roman"/>
          <w:color w:val="000000"/>
        </w:rPr>
        <w:t>Justiça Redação e Pareceres</w:t>
      </w:r>
      <w:r w:rsidR="00F454B7" w:rsidRPr="00690991">
        <w:rPr>
          <w:rFonts w:ascii="Times New Roman" w:hAnsi="Times New Roman" w:cs="Times New Roman"/>
          <w:color w:val="000000"/>
        </w:rPr>
        <w:t xml:space="preserve"> </w:t>
      </w:r>
      <w:r w:rsidRPr="00690991">
        <w:rPr>
          <w:rFonts w:ascii="Times New Roman" w:hAnsi="Times New Roman" w:cs="Times New Roman"/>
          <w:color w:val="000000"/>
        </w:rPr>
        <w:t xml:space="preserve">da Câmara Municipal de </w:t>
      </w:r>
      <w:r w:rsidR="00305317" w:rsidRPr="00690991">
        <w:rPr>
          <w:rFonts w:ascii="Times New Roman" w:hAnsi="Times New Roman" w:cs="Times New Roman"/>
          <w:color w:val="000000"/>
        </w:rPr>
        <w:t xml:space="preserve">Vereadores de Renascença. </w:t>
      </w:r>
      <w:r w:rsidR="00C94D7E">
        <w:rPr>
          <w:rFonts w:ascii="Times New Roman" w:hAnsi="Times New Roman" w:cs="Times New Roman"/>
          <w:color w:val="000000"/>
        </w:rPr>
        <w:t>Ao</w:t>
      </w:r>
      <w:r w:rsidR="00CB075E">
        <w:rPr>
          <w:rFonts w:ascii="Times New Roman" w:hAnsi="Times New Roman" w:cs="Times New Roman"/>
          <w:color w:val="000000"/>
        </w:rPr>
        <w:t>s</w:t>
      </w:r>
      <w:r w:rsidR="00C94D7E">
        <w:rPr>
          <w:rFonts w:ascii="Times New Roman" w:hAnsi="Times New Roman" w:cs="Times New Roman"/>
          <w:color w:val="000000"/>
        </w:rPr>
        <w:t xml:space="preserve"> </w:t>
      </w:r>
      <w:r w:rsidR="00CB075E">
        <w:rPr>
          <w:rFonts w:ascii="Times New Roman" w:hAnsi="Times New Roman" w:cs="Times New Roman"/>
          <w:color w:val="000000"/>
        </w:rPr>
        <w:t xml:space="preserve">dezesseis </w:t>
      </w:r>
      <w:r w:rsidR="00C94D7E">
        <w:rPr>
          <w:rFonts w:ascii="Times New Roman" w:hAnsi="Times New Roman" w:cs="Times New Roman"/>
          <w:color w:val="000000"/>
        </w:rPr>
        <w:t>dia</w:t>
      </w:r>
      <w:r w:rsidR="00CB075E">
        <w:rPr>
          <w:rFonts w:ascii="Times New Roman" w:hAnsi="Times New Roman" w:cs="Times New Roman"/>
          <w:color w:val="000000"/>
        </w:rPr>
        <w:t>s</w:t>
      </w:r>
      <w:r w:rsidRPr="00690991">
        <w:rPr>
          <w:rFonts w:ascii="Times New Roman" w:hAnsi="Times New Roman" w:cs="Times New Roman"/>
          <w:color w:val="000000"/>
        </w:rPr>
        <w:t xml:space="preserve"> do mês de </w:t>
      </w:r>
      <w:r w:rsidR="00C94D7E">
        <w:rPr>
          <w:rFonts w:ascii="Times New Roman" w:hAnsi="Times New Roman" w:cs="Times New Roman"/>
          <w:color w:val="000000"/>
        </w:rPr>
        <w:t>março</w:t>
      </w:r>
      <w:r w:rsidR="004C74BB">
        <w:rPr>
          <w:rFonts w:ascii="Times New Roman" w:hAnsi="Times New Roman" w:cs="Times New Roman"/>
          <w:color w:val="000000"/>
        </w:rPr>
        <w:t xml:space="preserve"> de 2023</w:t>
      </w:r>
      <w:r w:rsidRPr="00690991">
        <w:rPr>
          <w:rFonts w:ascii="Times New Roman" w:hAnsi="Times New Roman" w:cs="Times New Roman"/>
          <w:color w:val="000000"/>
        </w:rPr>
        <w:t>, junto ao Plenário da Câmara Municipal, reuniram-se os Vereadores:</w:t>
      </w:r>
      <w:r w:rsidR="009C727E" w:rsidRPr="00690991">
        <w:rPr>
          <w:rFonts w:ascii="Times New Roman" w:hAnsi="Times New Roman" w:cs="Times New Roman"/>
          <w:color w:val="000000"/>
        </w:rPr>
        <w:t xml:space="preserve"> </w:t>
      </w:r>
      <w:r w:rsidR="004C74BB">
        <w:rPr>
          <w:rFonts w:ascii="Times New Roman" w:hAnsi="Times New Roman" w:cs="Times New Roman"/>
          <w:color w:val="000000"/>
        </w:rPr>
        <w:t>Luiz Carlos de Souza Vieira Lopes</w:t>
      </w:r>
      <w:r w:rsidR="00CB075E">
        <w:rPr>
          <w:rFonts w:ascii="Times New Roman" w:hAnsi="Times New Roman" w:cs="Times New Roman"/>
          <w:color w:val="000000"/>
        </w:rPr>
        <w:t xml:space="preserve">, Presidente </w:t>
      </w:r>
      <w:r w:rsidR="0023389A" w:rsidRPr="009C727E">
        <w:rPr>
          <w:rFonts w:ascii="Times New Roman" w:hAnsi="Times New Roman" w:cs="Times New Roman"/>
          <w:color w:val="000000"/>
        </w:rPr>
        <w:t xml:space="preserve">e </w:t>
      </w:r>
      <w:proofErr w:type="spellStart"/>
      <w:r w:rsidR="0023389A" w:rsidRPr="009C727E">
        <w:rPr>
          <w:rFonts w:ascii="Times New Roman" w:hAnsi="Times New Roman" w:cs="Times New Roman"/>
        </w:rPr>
        <w:t>Fabieli</w:t>
      </w:r>
      <w:proofErr w:type="spellEnd"/>
      <w:r w:rsidR="0023389A" w:rsidRPr="009C727E">
        <w:rPr>
          <w:rFonts w:ascii="Times New Roman" w:hAnsi="Times New Roman" w:cs="Times New Roman"/>
        </w:rPr>
        <w:t xml:space="preserve"> </w:t>
      </w:r>
      <w:proofErr w:type="spellStart"/>
      <w:r w:rsidR="0023389A" w:rsidRPr="009C727E">
        <w:rPr>
          <w:rFonts w:ascii="Times New Roman" w:hAnsi="Times New Roman" w:cs="Times New Roman"/>
        </w:rPr>
        <w:t>Manfredi</w:t>
      </w:r>
      <w:proofErr w:type="spellEnd"/>
      <w:r w:rsidR="0023389A" w:rsidRPr="009C727E">
        <w:rPr>
          <w:rFonts w:ascii="Times New Roman" w:hAnsi="Times New Roman" w:cs="Times New Roman"/>
        </w:rPr>
        <w:t>, Membro</w:t>
      </w:r>
      <w:r w:rsidR="0023389A" w:rsidRPr="009C727E">
        <w:rPr>
          <w:rFonts w:ascii="Times New Roman" w:hAnsi="Times New Roman" w:cs="Times New Roman"/>
          <w:color w:val="000000"/>
        </w:rPr>
        <w:t xml:space="preserve"> da Comissão de Justiça Redação e Pareceres</w:t>
      </w:r>
      <w:r w:rsidR="0023389A">
        <w:rPr>
          <w:rFonts w:ascii="Times New Roman" w:hAnsi="Times New Roman" w:cs="Times New Roman"/>
          <w:color w:val="000000"/>
        </w:rPr>
        <w:t xml:space="preserve">, </w:t>
      </w:r>
      <w:r w:rsidRPr="00690991">
        <w:rPr>
          <w:rFonts w:ascii="Times New Roman" w:hAnsi="Times New Roman" w:cs="Times New Roman"/>
          <w:color w:val="000000"/>
        </w:rPr>
        <w:t>para análise da seguinte matéria</w:t>
      </w:r>
      <w:r w:rsidR="00CB068C" w:rsidRPr="00690991">
        <w:rPr>
          <w:rFonts w:ascii="Times New Roman" w:hAnsi="Times New Roman" w:cs="Times New Roman"/>
          <w:color w:val="000000"/>
        </w:rPr>
        <w:t>:</w:t>
      </w:r>
      <w:r w:rsidR="00C45F86" w:rsidRPr="00690991"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  <w:r w:rsidR="00CB075E" w:rsidRPr="00CB075E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os projetos foram encaminhados para análise das Comissões Permanentes. Ainda, com fundamento nos </w:t>
      </w:r>
      <w:r w:rsidR="00CB075E" w:rsidRPr="00CB075E">
        <w:rPr>
          <w:rFonts w:ascii="Times New Roman" w:hAnsi="Times New Roman" w:cs="Times New Roman"/>
          <w:color w:val="000000" w:themeColor="text1"/>
          <w:sz w:val="24"/>
          <w:szCs w:val="24"/>
        </w:rPr>
        <w:t>artigos 52 e 154 do Regimento Interno, o parecer foi emitido conjuntamente. Foram analisadas as seguintes proposições: (a) Projeto de Lei do Legislativo n.º 003, de 28 de fevereiro de 2023, que autoriza o Poder Legislativo a conceder gratificação mensal por encargo – GPEFAPEN a servidor efetivo da Câmara Municipal de Vereadores designado para compor o Comitê de Investimentos do Regime Próprio de Previdência Social de Renascença e dá outras providências; e b) Projeto de Lei n.º 007, de 07 de março de 2023, que autoriza o Poder Executivo Municipal a realizar parcerias com entidades esportivas do terceiro setor e dá outras providências. Após análise, não havendo óbices de natureza constitucional, jurídica, regimental, técnica legislativa ou mesmo de ordem financeira e orçamentária, opinam as Comissões Permanentes favoráveis à admissibilidade e tramitação das proposições.</w:t>
      </w:r>
      <w:r w:rsidR="00CB075E" w:rsidRPr="000042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B075E" w:rsidRPr="00004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parecer. Passamos à fundamentação. </w:t>
      </w:r>
      <w:r w:rsidR="00CB075E" w:rsidRPr="000042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Projeto de Lei do Legislativo n.º 003, de 28 de fevereiro de 2023. </w:t>
      </w:r>
      <w:r w:rsidR="00CB075E" w:rsidRPr="000042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Relatório: </w:t>
      </w:r>
      <w:r w:rsidR="00CB075E" w:rsidRPr="00004224">
        <w:rPr>
          <w:rFonts w:ascii="Times New Roman" w:hAnsi="Times New Roman" w:cs="Times New Roman"/>
          <w:color w:val="000000" w:themeColor="text1"/>
          <w:sz w:val="24"/>
          <w:szCs w:val="24"/>
        </w:rPr>
        <w:t>De autoria da Mesa Diretora, o Projeto de Lei do Legislativo n.º 003, de 28 de fevereiro de 2023 autoriza o Poder Legislativo a conceder gratificação mensal por encargo – GPEFAPEN, no valor de R$ 708,58 (setecentos e oito reais e cinquenta e oito centavos), para servidor efetivo do quadro de pessoal da Câmara Municipal de Vereadores de Renascença, que venha a ser designado para compor o Comitê de Investimentos do Regime Próprio de Previdência Social do Município de Renascença – PR, criado através da Lei Municipal n.º 1278, de 13 de dezembro de 2012.</w:t>
      </w:r>
      <w:r w:rsidR="00CB0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B075E">
        <w:rPr>
          <w:rFonts w:ascii="Times New Roman" w:hAnsi="Times New Roman" w:cs="Times New Roman"/>
          <w:color w:val="000000" w:themeColor="text1"/>
          <w:sz w:val="24"/>
          <w:szCs w:val="24"/>
        </w:rPr>
        <w:t>paragrafo</w:t>
      </w:r>
      <w:proofErr w:type="spellEnd"/>
      <w:r w:rsidR="00CB0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único,</w:t>
      </w:r>
      <w:r w:rsidR="00CB075E" w:rsidRPr="00004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artigo 1º</w:t>
      </w:r>
      <w:r w:rsidR="00CB0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B075E" w:rsidRPr="00004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destaca que o servidor beneficiário da gratificação de que trata o caput deste artigo não sofrerá alteração na carga horária, mantendo-se a mesma jornada semanal de trabalho. Já o artigo 2º estabelece que o valor da gratificação será reajustado na mesma data e com o mesmo índice da revisão geral anual dos servidores públicos. Por seu turno, o artigo 3º estabelece que a concessão da gratificação será formalizada através de Portaria do Presidente da Câmara. O artigo 4º estabelece que as despesas decorrentes desta Lei correrão por conta de dotações próprias, consignadas no orçamento vigente, suplementadas se necessárias. Por fim, os artigos 5º e 6º dispõem sobre as cláusulas de vigência e revogação. Em justificação, que acompanha o projeto, esclarece a Mesa Diretora que já existe uma lei municipal, Lei n.º 1527, de 5 de abril de 2017, autorizando a concessão de gratificação para servidores efetivos que forem designados para compor o Comitê de Investimentos do Regime Próprio de Previdência Social do Município de Renascença – PR, criado através da Lei Municipal n.º 1278, de 13 de dezembro de 2012.Todavia, em que pese a Lei Municipal n.º 1527, de 2017, não faça nenhuma distinção entre servidores do executivo ou legislativo, entendeu a Mesa Diretora por bem apresentar uma lei específica e de iniciativa da própria Câmara Municipal, </w:t>
      </w:r>
      <w:r w:rsidR="00CB0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vez que </w:t>
      </w:r>
      <w:r w:rsidR="00CB075E" w:rsidRPr="00004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esta compete a atribuição de fixar e/ou alterar os vencimentos dos servidores que compõem o seu quadro de pessoal, em atenção ao artigo 2º e 37, inciso X, da Constituição Federal. É o relatório. </w:t>
      </w:r>
      <w:r w:rsidR="00CB075E" w:rsidRPr="000042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CB075E" w:rsidRPr="00004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proposição é de autoria da Mesa Diretora, detendo ela competência para iniciar o processo legislativo, nos termos da Lei Orgânica e </w:t>
      </w:r>
      <w:r w:rsidR="00CB075E" w:rsidRPr="000042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da Constituição Federal. O projeto autoriza o legislativo a conceder gratificação mensal por encargo – GPEFAPEN para servidor efetivo do quadro de pessoal da Câmara Municipal de Vereadores de Renascença, que venha a ser designado </w:t>
      </w:r>
      <w:r w:rsidR="00CB0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também </w:t>
      </w:r>
      <w:r w:rsidR="00CB075E" w:rsidRPr="00004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compor o Comitê de Investimentos do Regime Próprio de Previdência Social do Município de Renascença – PR, criado através da Lei Municipal n.º 1278, de 13 de dezembro de 2012. Analisando a matéria, observamos que os membros do Comitê de Investimentos exercem uma importante função no controle do Fundo de Pensão e Aposentadoria dos Servidores do Município de Renascença, desempenhando, dentre outras tarefas, a atribuição de controle e aplicação dos recursos financeiros, conforme previsto na Lei Municipal n.º 1278, de 13 de dezembro de 2012 e no Regimento Interno do Comitê, o que implica em grande responsabilidade. Além disso, por exigência do Ministério da Previdência Social, Portaria MTP n.º </w:t>
      </w:r>
      <w:proofErr w:type="spellStart"/>
      <w:r w:rsidR="00CB075E" w:rsidRPr="00004224">
        <w:rPr>
          <w:rFonts w:ascii="Times New Roman" w:hAnsi="Times New Roman" w:cs="Times New Roman"/>
          <w:color w:val="000000" w:themeColor="text1"/>
          <w:sz w:val="24"/>
          <w:szCs w:val="24"/>
        </w:rPr>
        <w:t>n.º</w:t>
      </w:r>
      <w:proofErr w:type="spellEnd"/>
      <w:r w:rsidR="00CB075E" w:rsidRPr="00004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1.467, de 02 de junho de 2022</w:t>
      </w:r>
      <w:r w:rsidR="00CB0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B075E" w:rsidRPr="00004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componentes do Comitê de Investimentos </w:t>
      </w:r>
      <w:r w:rsidR="00CB0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deverão possuir </w:t>
      </w:r>
      <w:r w:rsidR="00CB075E" w:rsidRPr="00004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certificação, sendo que para se obter tal certificação o servidor precisa ser aprovado em exame organizado por entidade autônoma de reconhecida capacidade técnica, o que demanda horas de estudo executado fora do horário normal de trabalho. Também, de acordo com a referida portaria, é necessário que os membros possuam comprovada experiência no exercício de atividade nas áreas financeira, administrativa, contábil, jurídica, de fiscalização, atuarial ou de auditoria e que tenham formação acadêmica em nível superior (art. 76, II, III e IV). Diante disso, entendemos ser oportuna e relevante a concessão da gratificação </w:t>
      </w:r>
      <w:r w:rsidR="00CB0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também </w:t>
      </w:r>
      <w:r w:rsidR="00CB075E" w:rsidRPr="00004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aos servidores efetivos do legislativo que venham a serem designados para assumirem tais responsabilidades, até mesmo porque gratificação </w:t>
      </w:r>
      <w:r w:rsidR="00CB0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idêntica </w:t>
      </w:r>
      <w:r w:rsidR="00CB075E" w:rsidRPr="00004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vem sendo concedida aos servidores do executivo integrantes do Comitê de Investimentos. Assim, quanto à </w:t>
      </w:r>
      <w:r w:rsidR="00CB075E" w:rsidRPr="00004224">
        <w:rPr>
          <w:rFonts w:ascii="Times New Roman" w:hAnsi="Times New Roman" w:cs="Times New Roman"/>
          <w:sz w:val="24"/>
          <w:szCs w:val="24"/>
        </w:rPr>
        <w:t xml:space="preserve">análise dos aspectos jurídico, constitucional, legal e regimental, verifica-se que o Projeto de Lei do Legislativo em exame está em conformidade com a ordem jurídica. Quanto aos aspectos orçamentário e financeiro, o projeto possui compatibilidade com a Lei de Responsabilidade Fiscal, Lei Complementar n.º 101, de 2000. </w:t>
      </w:r>
      <w:r w:rsidR="00CB075E" w:rsidRPr="000042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CB075E" w:rsidRPr="00004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Permanentes favoravelmente ao Projeto de Lei do Legislativo n.º 003, de 28 de fevereiro de 2023.</w:t>
      </w:r>
      <w:r w:rsidR="00CB0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075E" w:rsidRPr="005A792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Projeto de Lei n.º 007, de 07 de março de 2023. </w:t>
      </w:r>
      <w:r w:rsidR="00CB075E" w:rsidRPr="005A79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Relatório: </w:t>
      </w:r>
      <w:r w:rsidR="00CB075E" w:rsidRPr="005A7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Projeto de Lei </w:t>
      </w:r>
      <w:r w:rsidR="00CB075E">
        <w:rPr>
          <w:rFonts w:ascii="Times New Roman" w:hAnsi="Times New Roman" w:cs="Times New Roman"/>
          <w:color w:val="000000" w:themeColor="text1"/>
        </w:rPr>
        <w:t>em questão</w:t>
      </w:r>
      <w:r w:rsidR="00CB075E" w:rsidRPr="005A7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autoriza o Executivo Municipal a realizar </w:t>
      </w:r>
      <w:r w:rsidR="00CB075E">
        <w:rPr>
          <w:rFonts w:ascii="Times New Roman" w:hAnsi="Times New Roman" w:cs="Times New Roman"/>
          <w:color w:val="000000" w:themeColor="text1"/>
        </w:rPr>
        <w:t>parcerias com</w:t>
      </w:r>
      <w:r w:rsidR="00CB075E" w:rsidRPr="005A7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entidades esportivas do terceiro setor e dá outras providências. O artigo 1º do projeto dispõe que fica o Executivo Municipal autorizado a realizar parcerias com entidades do terceiro setor, especialmente com associações, pessoas jurídicas de direito privado, sem fins lucrativos, que possuam nos seus atos constitutivos o desenvolvimento e/ou a prática de alguma modalidade esportiva e/ou </w:t>
      </w:r>
      <w:proofErr w:type="spellStart"/>
      <w:r w:rsidR="00CB075E" w:rsidRPr="005A792D">
        <w:rPr>
          <w:rFonts w:ascii="Times New Roman" w:hAnsi="Times New Roman" w:cs="Times New Roman"/>
          <w:color w:val="000000" w:themeColor="text1"/>
          <w:sz w:val="24"/>
          <w:szCs w:val="24"/>
        </w:rPr>
        <w:t>paradesportiva</w:t>
      </w:r>
      <w:proofErr w:type="spellEnd"/>
      <w:r w:rsidR="00CB075E" w:rsidRPr="005A792D">
        <w:rPr>
          <w:rFonts w:ascii="Times New Roman" w:hAnsi="Times New Roman" w:cs="Times New Roman"/>
          <w:color w:val="000000" w:themeColor="text1"/>
          <w:sz w:val="24"/>
          <w:szCs w:val="24"/>
        </w:rPr>
        <w:t>, respeitando-se o disposto na Lei Federal n.º 13.019/2014 e a legislação municipal aplicável. Já o §1º prescreve que a parceria de que trata o caput deste artigo poderá ser utilizada para incentivas a formação e/ou treinamento de atleta para o desporto de rendimento, além da representação do Município de Renascença em competições esportivas/</w:t>
      </w:r>
      <w:proofErr w:type="spellStart"/>
      <w:r w:rsidR="00CB075E" w:rsidRPr="005A792D">
        <w:rPr>
          <w:rFonts w:ascii="Times New Roman" w:hAnsi="Times New Roman" w:cs="Times New Roman"/>
          <w:color w:val="000000" w:themeColor="text1"/>
          <w:sz w:val="24"/>
          <w:szCs w:val="24"/>
        </w:rPr>
        <w:t>paradesportivas</w:t>
      </w:r>
      <w:proofErr w:type="spellEnd"/>
      <w:r w:rsidR="00CB075E" w:rsidRPr="005A792D">
        <w:rPr>
          <w:rFonts w:ascii="Times New Roman" w:hAnsi="Times New Roman" w:cs="Times New Roman"/>
          <w:color w:val="000000" w:themeColor="text1"/>
          <w:sz w:val="24"/>
          <w:szCs w:val="24"/>
        </w:rPr>
        <w:t>. Por sua vez, o §2º estabelece que a parceria de que trata o caput deste artigo pode compreender, entre outros: I – o repasse de verbas públicas; II – a concessão de direito real de uso de bens públicos municipais, para exploração, exclusiva ou compartilhada; III – a permissão de uso de espaços públicos e matérias esportivos. O §3º estabelece que as associações esportivas/</w:t>
      </w:r>
      <w:proofErr w:type="spellStart"/>
      <w:r w:rsidR="00CB075E" w:rsidRPr="005A792D">
        <w:rPr>
          <w:rFonts w:ascii="Times New Roman" w:hAnsi="Times New Roman" w:cs="Times New Roman"/>
          <w:color w:val="000000" w:themeColor="text1"/>
          <w:sz w:val="24"/>
          <w:szCs w:val="24"/>
        </w:rPr>
        <w:t>paradesportivas</w:t>
      </w:r>
      <w:proofErr w:type="spellEnd"/>
      <w:r w:rsidR="00CB075E" w:rsidRPr="005A7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firmarem parceria na forma deste artigo poderão representar o oficialmente o Município de Renascença em eventos promovidos pelo Departamento de Esportes. </w:t>
      </w:r>
      <w:r w:rsidR="00CB075E" w:rsidRPr="005A792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Por seu turno, o artigo 2º dispõe que é vedada a transferência de recursos às associações que tenham como dirigentes ou controladores: I – membros dos Poderes Executivo e Legislativo Municipal, bem como seus respectivos cônjuges, companheiros e parentes em linha reta, colateral ou por afinidade até o 3º grau; II – servidor público vinculado ao Poder Executivo Municipal ou do Legislativo Municipal, bem como seus respectivos cônjuges, companheiros e parentes em linha reta, colateral ou por afinidade até o 3º grau. Por fim, o artigo 3º trata das cláusulas de vigência e revogação. </w:t>
      </w:r>
      <w:r w:rsidR="00CB075E">
        <w:rPr>
          <w:rFonts w:ascii="Times New Roman" w:hAnsi="Times New Roman" w:cs="Times New Roman"/>
          <w:color w:val="000000" w:themeColor="text1"/>
        </w:rPr>
        <w:t>Em justificação, que consta da</w:t>
      </w:r>
      <w:r w:rsidR="00CB075E" w:rsidRPr="005A7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Mensagem n.º 007, de 07 de março de 2023, informa o Prefeito Municipal que o projeto tem por objetivo permitir fomentar o esporte no Município por intermédio das Associações sem fins lucrativos que atuam no seguimento. É o relatório. </w:t>
      </w:r>
      <w:r w:rsidR="00CB075E" w:rsidRPr="005A79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CB075E" w:rsidRPr="005A792D">
        <w:rPr>
          <w:rFonts w:ascii="Times New Roman" w:hAnsi="Times New Roman" w:cs="Times New Roman"/>
          <w:color w:val="000000" w:themeColor="text1"/>
          <w:sz w:val="24"/>
          <w:szCs w:val="24"/>
        </w:rPr>
        <w:t>A proposição é de autoria do Poder Executivo, possuindo competência para iniciar o processo legislativo, nos termos da Lei Orgânica municipal e da Constituição Federal. A Constituição Federal, bem como a própria Lei Orgânica preveem o fomento as práticas esportivas. Dispõe o artigo 2</w:t>
      </w:r>
      <w:r w:rsidR="00CB075E">
        <w:rPr>
          <w:rFonts w:ascii="Times New Roman" w:hAnsi="Times New Roman" w:cs="Times New Roman"/>
          <w:color w:val="000000" w:themeColor="text1"/>
        </w:rPr>
        <w:t>17</w:t>
      </w:r>
      <w:r w:rsidR="00CB075E" w:rsidRPr="005A7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Constituição Federal: </w:t>
      </w:r>
      <w:r w:rsidR="00CB075E" w:rsidRPr="005A79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="00CB075E" w:rsidRPr="005A79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Art. 217. É dever do Estado fomentar práticas desportivas formais e </w:t>
      </w:r>
      <w:proofErr w:type="spellStart"/>
      <w:r w:rsidR="00CB075E" w:rsidRPr="005A79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não-formais</w:t>
      </w:r>
      <w:proofErr w:type="spellEnd"/>
      <w:r w:rsidR="00CB075E" w:rsidRPr="005A79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como direito de cada um, observados: </w:t>
      </w:r>
      <w:r w:rsidR="00CB075E" w:rsidRPr="005A792D">
        <w:rPr>
          <w:rFonts w:ascii="Times New Roman" w:hAnsi="Times New Roman" w:cs="Times New Roman"/>
          <w:i/>
          <w:color w:val="000000"/>
          <w:sz w:val="24"/>
          <w:szCs w:val="24"/>
        </w:rPr>
        <w:t>I - a autonomia das entidades desportivas dirigentes e associações, quanto a sua organização e funcionamento;</w:t>
      </w:r>
      <w:bookmarkStart w:id="1" w:name="art217ii"/>
      <w:bookmarkEnd w:id="1"/>
      <w:r w:rsidR="00CB075E" w:rsidRPr="005A79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II - a destinação de recursos públicos para a promoção prioritária do desporto educacional e, em casos específicos, para a do desporto de alto rendimento;</w:t>
      </w:r>
      <w:bookmarkStart w:id="2" w:name="art217iii"/>
      <w:bookmarkEnd w:id="2"/>
      <w:r w:rsidR="00CB075E" w:rsidRPr="005A79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III - o tratamento diferenciado para o desporto profissional e o não- profissional;</w:t>
      </w:r>
      <w:bookmarkStart w:id="3" w:name="art217iv"/>
      <w:bookmarkEnd w:id="3"/>
      <w:r w:rsidR="00CB075E" w:rsidRPr="005A79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IV - a proteção e o incentivo às manifestações desportivas de criação nacional.</w:t>
      </w:r>
      <w:bookmarkStart w:id="4" w:name="art217§1"/>
      <w:bookmarkEnd w:id="4"/>
      <w:r w:rsidR="00CB075E" w:rsidRPr="005A79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§ 1º O Poder Judiciário só admitirá ações relativas à disciplina e às competições desportivas após esgotarem-se as instâncias da justiça desportiva, regulada em lei.</w:t>
      </w:r>
      <w:bookmarkStart w:id="5" w:name="art217§2"/>
      <w:bookmarkEnd w:id="5"/>
      <w:r w:rsidR="00CB075E" w:rsidRPr="005A79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§ 2º A justiça desportiva terá o prazo máximo de sessenta dias, contados da instauração do processo, para proferir decisão final.</w:t>
      </w:r>
      <w:bookmarkStart w:id="6" w:name="art217§3"/>
      <w:bookmarkEnd w:id="6"/>
      <w:r w:rsidR="00CB075E" w:rsidRPr="005A79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§ 3º O Poder Público incentivará o lazer, como forma de promoção social.</w:t>
      </w:r>
      <w:r w:rsidR="00CB075E" w:rsidRPr="005A792D">
        <w:rPr>
          <w:rFonts w:ascii="Times New Roman" w:hAnsi="Times New Roman" w:cs="Times New Roman"/>
          <w:color w:val="000000"/>
          <w:sz w:val="24"/>
          <w:szCs w:val="24"/>
        </w:rPr>
        <w:t xml:space="preserve">”. </w:t>
      </w:r>
      <w:r w:rsidR="00CB075E">
        <w:rPr>
          <w:rFonts w:ascii="Times New Roman" w:hAnsi="Times New Roman" w:cs="Times New Roman"/>
        </w:rPr>
        <w:t xml:space="preserve">No mesmo sentido, </w:t>
      </w:r>
      <w:r w:rsidR="00CB075E" w:rsidRPr="005A792D">
        <w:rPr>
          <w:rFonts w:ascii="Times New Roman" w:hAnsi="Times New Roman" w:cs="Times New Roman"/>
          <w:color w:val="000000"/>
          <w:sz w:val="24"/>
          <w:szCs w:val="24"/>
        </w:rPr>
        <w:t>dispõem os</w:t>
      </w:r>
      <w:r w:rsidR="00CB075E" w:rsidRPr="005A7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artigos 253, 254 e 255 da Lei Orgânica de Renascença: </w:t>
      </w:r>
      <w:r w:rsidR="00CB075E" w:rsidRPr="005A79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="00CB075E" w:rsidRPr="005A792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Art. 253 </w:t>
      </w:r>
      <w:r w:rsidR="00CB075E" w:rsidRPr="005A792D">
        <w:rPr>
          <w:rFonts w:ascii="Times New Roman" w:hAnsi="Times New Roman" w:cs="Times New Roman"/>
          <w:i/>
          <w:sz w:val="24"/>
          <w:szCs w:val="24"/>
        </w:rPr>
        <w:t xml:space="preserve">- É dever do Município apoiar, manter e incentivar, com base nos fundamentos da Educação Física, o esporte, a recreação e o lazer, como formas de educação e promoção social e como prática sociocultural e de preservação da saúde física e mental do cidadão, assegurando: I – a destinação de recursos públicos para a promoção prioritária do desporto educacional, especialmente nas escolas municipais; II – tratamento prioritário para o desporto amador; III – diversificação, manutenção, segurança e descentralização de instalação de equipamentos desportivos, de recreação e lazer, com destinação de espaços adequados para atividades desportivas, nos projetos de urbanização pública, habitacionais e de construção de escolas, assegurando o direito da pessoa com deficiência à utilização desses espaços; IV – estimulo e diversificação das práticas desportivas de criação nacional; V - criação e desenvolvimento de política de apoio e valorização dos talentos desportivos; VI – formulação de políticas públicas de desporto e lazer; VII– promoção, orientação e estímulo à prática e difusão da Educação Física; VIII – adequação dos locais já existentes e previsão de medidas necessárias quando da construção de novos espaços públicos, tendo em vista a prática de esportes e atividades de lazer por parte de deficientes e idosos, de maneira integrada aos demais cidadãos; IX – promoção de jogos e competições desportivas amadoras, especialmente os relacionados com a preservação da saúde, a promoção do bem-estar e a elevação da qualidade de vida da população, bem como programas especiais para a terceira idade e para crianças e </w:t>
      </w:r>
      <w:r w:rsidR="00CB075E" w:rsidRPr="005A792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jovens da rede municipal de ensino público. </w:t>
      </w:r>
      <w:r w:rsidR="00CB075E" w:rsidRPr="005A792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Art. 254 </w:t>
      </w:r>
      <w:r w:rsidR="00CB075E" w:rsidRPr="005A792D">
        <w:rPr>
          <w:rFonts w:ascii="Times New Roman" w:hAnsi="Times New Roman" w:cs="Times New Roman"/>
          <w:i/>
          <w:sz w:val="24"/>
          <w:szCs w:val="24"/>
        </w:rPr>
        <w:t xml:space="preserve">- O Município implementará esforços na criação de escolinhas desportivas, com treinamento permanente por profissionais da área, visando à aprendizagem das regras básicas e o aprimoramento do condicionamento físico, bem como a descoberta de novos valores. </w:t>
      </w:r>
      <w:r w:rsidR="00CB075E" w:rsidRPr="005A792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Art. 255 </w:t>
      </w:r>
      <w:r w:rsidR="00CB075E" w:rsidRPr="005A792D">
        <w:rPr>
          <w:rFonts w:ascii="Times New Roman" w:hAnsi="Times New Roman" w:cs="Times New Roman"/>
          <w:i/>
          <w:sz w:val="24"/>
          <w:szCs w:val="24"/>
        </w:rPr>
        <w:t>- O Município estimulará e apoiará as entidades e associações da comunidade dedicadas às práticas esportivas, vedada a subvenção a entidades desportivas profissionais”.</w:t>
      </w:r>
      <w:r w:rsidR="00CB075E" w:rsidRPr="005A792D">
        <w:rPr>
          <w:rFonts w:ascii="Times New Roman" w:hAnsi="Times New Roman" w:cs="Times New Roman"/>
          <w:sz w:val="24"/>
          <w:szCs w:val="24"/>
        </w:rPr>
        <w:t xml:space="preserve"> </w:t>
      </w:r>
      <w:r w:rsidR="00CB075E">
        <w:rPr>
          <w:rFonts w:ascii="Times New Roman" w:hAnsi="Times New Roman" w:cs="Times New Roman"/>
          <w:sz w:val="24"/>
          <w:szCs w:val="24"/>
        </w:rPr>
        <w:t xml:space="preserve">Analisando o projeto, observa-se não existir impedimentos na </w:t>
      </w:r>
      <w:r w:rsidR="00CB075E" w:rsidRPr="005A792D">
        <w:rPr>
          <w:rFonts w:ascii="Times New Roman" w:hAnsi="Times New Roman" w:cs="Times New Roman"/>
          <w:sz w:val="24"/>
          <w:szCs w:val="24"/>
        </w:rPr>
        <w:t>celebração de parcerias com associações</w:t>
      </w:r>
      <w:r w:rsidR="00CB075E">
        <w:rPr>
          <w:rFonts w:ascii="Times New Roman" w:hAnsi="Times New Roman" w:cs="Times New Roman"/>
          <w:sz w:val="24"/>
          <w:szCs w:val="24"/>
        </w:rPr>
        <w:t xml:space="preserve"> como forma de fomentar o esporte, desde que se tratem de associações </w:t>
      </w:r>
      <w:r w:rsidR="00CB075E" w:rsidRPr="005A792D">
        <w:rPr>
          <w:rFonts w:ascii="Times New Roman" w:hAnsi="Times New Roman" w:cs="Times New Roman"/>
          <w:sz w:val="24"/>
          <w:szCs w:val="24"/>
        </w:rPr>
        <w:t>sem fins lucrativos</w:t>
      </w:r>
      <w:r w:rsidR="00CB075E">
        <w:rPr>
          <w:rFonts w:ascii="Times New Roman" w:hAnsi="Times New Roman" w:cs="Times New Roman"/>
          <w:sz w:val="24"/>
          <w:szCs w:val="24"/>
        </w:rPr>
        <w:t xml:space="preserve"> e exista previsão </w:t>
      </w:r>
      <w:r w:rsidR="005E1413">
        <w:rPr>
          <w:rFonts w:ascii="Times New Roman" w:hAnsi="Times New Roman" w:cs="Times New Roman"/>
          <w:sz w:val="24"/>
          <w:szCs w:val="24"/>
        </w:rPr>
        <w:t>orçamentária</w:t>
      </w:r>
      <w:r w:rsidR="00CB075E">
        <w:rPr>
          <w:rFonts w:ascii="Times New Roman" w:hAnsi="Times New Roman" w:cs="Times New Roman"/>
          <w:sz w:val="24"/>
          <w:szCs w:val="24"/>
        </w:rPr>
        <w:t>. A própria Lei Orgânica fomente às práticas esportivas. Ademais, o</w:t>
      </w:r>
      <w:r w:rsidR="00CB075E" w:rsidRPr="005A792D">
        <w:rPr>
          <w:rFonts w:ascii="Times New Roman" w:hAnsi="Times New Roman" w:cs="Times New Roman"/>
          <w:sz w:val="24"/>
          <w:szCs w:val="24"/>
        </w:rPr>
        <w:t xml:space="preserve"> artigo 1º </w:t>
      </w:r>
      <w:r w:rsidR="00CB075E">
        <w:rPr>
          <w:rFonts w:ascii="Times New Roman" w:hAnsi="Times New Roman" w:cs="Times New Roman"/>
          <w:sz w:val="24"/>
          <w:szCs w:val="24"/>
        </w:rPr>
        <w:t xml:space="preserve">do projeto estabelece que </w:t>
      </w:r>
      <w:r w:rsidR="00CB075E" w:rsidRPr="005A792D">
        <w:rPr>
          <w:rFonts w:ascii="Times New Roman" w:hAnsi="Times New Roman" w:cs="Times New Roman"/>
          <w:sz w:val="24"/>
          <w:szCs w:val="24"/>
        </w:rPr>
        <w:t>a parceria será realizada respeitando-se o disposto na Lei Federal n.º 13.019/2014, que regula as parcerias entre a Administração Pública e as organizações da sociedade civil, e a legislação municipal</w:t>
      </w:r>
      <w:r w:rsidR="00CB075E">
        <w:rPr>
          <w:rFonts w:ascii="Times New Roman" w:hAnsi="Times New Roman" w:cs="Times New Roman"/>
        </w:rPr>
        <w:t xml:space="preserve"> </w:t>
      </w:r>
      <w:r w:rsidR="00CB075E" w:rsidRPr="00925FC9">
        <w:rPr>
          <w:rFonts w:ascii="Times New Roman" w:hAnsi="Times New Roman" w:cs="Times New Roman"/>
          <w:sz w:val="24"/>
          <w:szCs w:val="24"/>
        </w:rPr>
        <w:t>que rege o assunto</w:t>
      </w:r>
      <w:r w:rsidR="00CB075E" w:rsidRPr="005A792D">
        <w:rPr>
          <w:rFonts w:ascii="Times New Roman" w:hAnsi="Times New Roman" w:cs="Times New Roman"/>
          <w:sz w:val="24"/>
          <w:szCs w:val="24"/>
        </w:rPr>
        <w:t xml:space="preserve">. </w:t>
      </w:r>
      <w:r w:rsidR="00CB075E" w:rsidRPr="005A7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Assim, quanto à </w:t>
      </w:r>
      <w:r w:rsidR="00CB075E" w:rsidRPr="005A792D">
        <w:rPr>
          <w:rFonts w:ascii="Times New Roman" w:hAnsi="Times New Roman" w:cs="Times New Roman"/>
          <w:sz w:val="24"/>
          <w:szCs w:val="24"/>
        </w:rPr>
        <w:t xml:space="preserve">análise dos aspectos jurídico, constitucional, legal e regimental, verifica-se que o Projeto de Lei em exame está em conformidade com a ordem jurídica, não havendo empecilhos de ordem financeira ou orçamentária. </w:t>
      </w:r>
      <w:r w:rsidR="00CB075E" w:rsidRPr="005A79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CB075E" w:rsidRPr="005A7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Permanentes favoravelmente ao Projeto de Lei n.º 007, de 07 de março de 2023.</w:t>
      </w:r>
    </w:p>
    <w:p w:rsidR="00CB075E" w:rsidRPr="005A792D" w:rsidRDefault="00CB075E" w:rsidP="00CB075E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075E" w:rsidRPr="005A792D" w:rsidRDefault="00CB075E" w:rsidP="00CB075E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266B" w:rsidRPr="00690991" w:rsidRDefault="0023389A" w:rsidP="004F265A">
      <w:pPr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1-                                                            2- </w:t>
      </w:r>
      <w:r w:rsidR="00CB075E">
        <w:rPr>
          <w:rFonts w:ascii="Times New Roman" w:hAnsi="Times New Roman" w:cs="Times New Roman"/>
          <w:color w:val="000000" w:themeColor="text1"/>
          <w:sz w:val="24"/>
          <w:szCs w:val="24"/>
        </w:rPr>
        <w:t>AUSENTE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CB0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3-</w:t>
      </w:r>
    </w:p>
    <w:sectPr w:rsidR="00FB266B" w:rsidRPr="00690991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6E8" w:rsidRDefault="004C66E8" w:rsidP="00E07FB4">
      <w:pPr>
        <w:spacing w:after="0" w:line="240" w:lineRule="auto"/>
      </w:pPr>
      <w:r>
        <w:separator/>
      </w:r>
    </w:p>
  </w:endnote>
  <w:endnote w:type="continuationSeparator" w:id="0">
    <w:p w:rsidR="004C66E8" w:rsidRDefault="004C66E8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6E8" w:rsidRDefault="004C66E8" w:rsidP="00E07FB4">
      <w:pPr>
        <w:spacing w:after="0" w:line="240" w:lineRule="auto"/>
      </w:pPr>
      <w:r>
        <w:separator/>
      </w:r>
    </w:p>
  </w:footnote>
  <w:footnote w:type="continuationSeparator" w:id="0">
    <w:p w:rsidR="004C66E8" w:rsidRDefault="004C66E8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7E" w:rsidRDefault="009C727E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22BD7"/>
    <w:rsid w:val="0002700E"/>
    <w:rsid w:val="00027F13"/>
    <w:rsid w:val="00092E05"/>
    <w:rsid w:val="000C10C7"/>
    <w:rsid w:val="000C771F"/>
    <w:rsid w:val="000D2A94"/>
    <w:rsid w:val="000F00EA"/>
    <w:rsid w:val="000F1B3F"/>
    <w:rsid w:val="00121FC3"/>
    <w:rsid w:val="00131165"/>
    <w:rsid w:val="001576A2"/>
    <w:rsid w:val="00164FC0"/>
    <w:rsid w:val="00166054"/>
    <w:rsid w:val="00175A6B"/>
    <w:rsid w:val="001A013A"/>
    <w:rsid w:val="001A356B"/>
    <w:rsid w:val="001B4F4E"/>
    <w:rsid w:val="001C09D6"/>
    <w:rsid w:val="001C42B6"/>
    <w:rsid w:val="001C435D"/>
    <w:rsid w:val="001D7175"/>
    <w:rsid w:val="001F6D62"/>
    <w:rsid w:val="00206DC2"/>
    <w:rsid w:val="00224569"/>
    <w:rsid w:val="00231897"/>
    <w:rsid w:val="0023389A"/>
    <w:rsid w:val="00233F02"/>
    <w:rsid w:val="002638A9"/>
    <w:rsid w:val="002770FF"/>
    <w:rsid w:val="002A2B2F"/>
    <w:rsid w:val="002B2B19"/>
    <w:rsid w:val="002B41CD"/>
    <w:rsid w:val="002C7C5F"/>
    <w:rsid w:val="002F1D0A"/>
    <w:rsid w:val="002F2302"/>
    <w:rsid w:val="002F507E"/>
    <w:rsid w:val="003005FA"/>
    <w:rsid w:val="00305317"/>
    <w:rsid w:val="00316467"/>
    <w:rsid w:val="003228DD"/>
    <w:rsid w:val="00335F79"/>
    <w:rsid w:val="00381C43"/>
    <w:rsid w:val="0039378C"/>
    <w:rsid w:val="003A0413"/>
    <w:rsid w:val="003C7A3C"/>
    <w:rsid w:val="00404867"/>
    <w:rsid w:val="00421894"/>
    <w:rsid w:val="00464E09"/>
    <w:rsid w:val="00475966"/>
    <w:rsid w:val="00494B7F"/>
    <w:rsid w:val="004B3541"/>
    <w:rsid w:val="004B56A5"/>
    <w:rsid w:val="004C6185"/>
    <w:rsid w:val="004C66E8"/>
    <w:rsid w:val="004C74BB"/>
    <w:rsid w:val="004D13E5"/>
    <w:rsid w:val="004F265A"/>
    <w:rsid w:val="005249FB"/>
    <w:rsid w:val="0057181D"/>
    <w:rsid w:val="005762E8"/>
    <w:rsid w:val="005778C8"/>
    <w:rsid w:val="005972D8"/>
    <w:rsid w:val="005C25C4"/>
    <w:rsid w:val="005E1413"/>
    <w:rsid w:val="005E1E8F"/>
    <w:rsid w:val="005E3E8B"/>
    <w:rsid w:val="005F6383"/>
    <w:rsid w:val="0060191F"/>
    <w:rsid w:val="00602C39"/>
    <w:rsid w:val="00610B25"/>
    <w:rsid w:val="0061178A"/>
    <w:rsid w:val="00625B60"/>
    <w:rsid w:val="006305C9"/>
    <w:rsid w:val="0064018A"/>
    <w:rsid w:val="0064171C"/>
    <w:rsid w:val="00645152"/>
    <w:rsid w:val="00652FD7"/>
    <w:rsid w:val="006900F6"/>
    <w:rsid w:val="00690991"/>
    <w:rsid w:val="006915AB"/>
    <w:rsid w:val="006936F2"/>
    <w:rsid w:val="00693749"/>
    <w:rsid w:val="006B1D3C"/>
    <w:rsid w:val="006B6D1E"/>
    <w:rsid w:val="006C01EC"/>
    <w:rsid w:val="006D4DB7"/>
    <w:rsid w:val="00724604"/>
    <w:rsid w:val="00731595"/>
    <w:rsid w:val="007428FB"/>
    <w:rsid w:val="0075351C"/>
    <w:rsid w:val="00766660"/>
    <w:rsid w:val="007C3B95"/>
    <w:rsid w:val="007D0796"/>
    <w:rsid w:val="00803CBB"/>
    <w:rsid w:val="008111BF"/>
    <w:rsid w:val="00830E90"/>
    <w:rsid w:val="00842CD1"/>
    <w:rsid w:val="00845E23"/>
    <w:rsid w:val="008657E5"/>
    <w:rsid w:val="008770CD"/>
    <w:rsid w:val="00884E01"/>
    <w:rsid w:val="008A1A3F"/>
    <w:rsid w:val="008B08DE"/>
    <w:rsid w:val="008B6C15"/>
    <w:rsid w:val="008C346F"/>
    <w:rsid w:val="008E119E"/>
    <w:rsid w:val="008F774A"/>
    <w:rsid w:val="00904B9B"/>
    <w:rsid w:val="00907B10"/>
    <w:rsid w:val="00911AB1"/>
    <w:rsid w:val="00926FD5"/>
    <w:rsid w:val="009469E7"/>
    <w:rsid w:val="009554D8"/>
    <w:rsid w:val="00957070"/>
    <w:rsid w:val="009675EC"/>
    <w:rsid w:val="00993A4E"/>
    <w:rsid w:val="009953EE"/>
    <w:rsid w:val="009A207A"/>
    <w:rsid w:val="009B5546"/>
    <w:rsid w:val="009C6590"/>
    <w:rsid w:val="009C727E"/>
    <w:rsid w:val="00A21AD1"/>
    <w:rsid w:val="00A274D1"/>
    <w:rsid w:val="00A27C1D"/>
    <w:rsid w:val="00A30CC9"/>
    <w:rsid w:val="00A371D4"/>
    <w:rsid w:val="00A46D64"/>
    <w:rsid w:val="00A53316"/>
    <w:rsid w:val="00A752F9"/>
    <w:rsid w:val="00A80C52"/>
    <w:rsid w:val="00A93991"/>
    <w:rsid w:val="00A95FC5"/>
    <w:rsid w:val="00AB2867"/>
    <w:rsid w:val="00AB605A"/>
    <w:rsid w:val="00AC017C"/>
    <w:rsid w:val="00AD2352"/>
    <w:rsid w:val="00AD4951"/>
    <w:rsid w:val="00AD7D52"/>
    <w:rsid w:val="00B110ED"/>
    <w:rsid w:val="00B16B89"/>
    <w:rsid w:val="00B31075"/>
    <w:rsid w:val="00B348E4"/>
    <w:rsid w:val="00B63E72"/>
    <w:rsid w:val="00B66D05"/>
    <w:rsid w:val="00B75D09"/>
    <w:rsid w:val="00B82F88"/>
    <w:rsid w:val="00B84E99"/>
    <w:rsid w:val="00B940D4"/>
    <w:rsid w:val="00B96D2B"/>
    <w:rsid w:val="00BA0AA8"/>
    <w:rsid w:val="00BA70AE"/>
    <w:rsid w:val="00BC42A3"/>
    <w:rsid w:val="00BC7DDC"/>
    <w:rsid w:val="00BF022F"/>
    <w:rsid w:val="00BF05C2"/>
    <w:rsid w:val="00C45F86"/>
    <w:rsid w:val="00C4632F"/>
    <w:rsid w:val="00C53B39"/>
    <w:rsid w:val="00C55CB7"/>
    <w:rsid w:val="00C71665"/>
    <w:rsid w:val="00C94D7E"/>
    <w:rsid w:val="00CB068C"/>
    <w:rsid w:val="00CB075E"/>
    <w:rsid w:val="00CC064E"/>
    <w:rsid w:val="00CC35CF"/>
    <w:rsid w:val="00CC366D"/>
    <w:rsid w:val="00CD7C28"/>
    <w:rsid w:val="00CE77CC"/>
    <w:rsid w:val="00CE79FF"/>
    <w:rsid w:val="00CF3FCF"/>
    <w:rsid w:val="00CF6C6B"/>
    <w:rsid w:val="00D00F6D"/>
    <w:rsid w:val="00D1240D"/>
    <w:rsid w:val="00D633B3"/>
    <w:rsid w:val="00DA1A27"/>
    <w:rsid w:val="00DB7B84"/>
    <w:rsid w:val="00DE385C"/>
    <w:rsid w:val="00DF697D"/>
    <w:rsid w:val="00E02E8A"/>
    <w:rsid w:val="00E07FB4"/>
    <w:rsid w:val="00E53091"/>
    <w:rsid w:val="00E70E01"/>
    <w:rsid w:val="00E87210"/>
    <w:rsid w:val="00E90297"/>
    <w:rsid w:val="00E96A78"/>
    <w:rsid w:val="00EB60A9"/>
    <w:rsid w:val="00EC1DBD"/>
    <w:rsid w:val="00ED60D8"/>
    <w:rsid w:val="00EE3544"/>
    <w:rsid w:val="00EF096C"/>
    <w:rsid w:val="00F12A85"/>
    <w:rsid w:val="00F1432A"/>
    <w:rsid w:val="00F454B7"/>
    <w:rsid w:val="00F50C94"/>
    <w:rsid w:val="00F6290D"/>
    <w:rsid w:val="00F738BC"/>
    <w:rsid w:val="00F95628"/>
    <w:rsid w:val="00FB2644"/>
    <w:rsid w:val="00FB266B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9C727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0191F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3005F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05FA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4C7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2033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84</cp:revision>
  <cp:lastPrinted>2023-03-21T13:12:00Z</cp:lastPrinted>
  <dcterms:created xsi:type="dcterms:W3CDTF">2019-02-12T11:28:00Z</dcterms:created>
  <dcterms:modified xsi:type="dcterms:W3CDTF">2023-03-21T13:13:00Z</dcterms:modified>
</cp:coreProperties>
</file>