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8EEBD" w14:textId="77777777" w:rsidR="0037527B" w:rsidRDefault="0037527B" w:rsidP="0037527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Ata da </w:t>
      </w:r>
      <w:r w:rsidRPr="005371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Vigésima Sétima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Reunião Conjunta da Comissão de Justiça, Redação e Pareceres e da Comissão de Finanças e Orçamento da Câmara Municipal de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Vereadores de Renascença. Aos 14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de outubro de 2025, às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8:30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h, na Sala de Reuniões das Comissões, reuniram-se os Vereadores para Reunião Conjunta das Comissões Permanentes de Justiça, Redação e Pareceres e de Finanças e Orçamento.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Pela Comissão de Justiça, Redação e Pareceres estiveram presentes os Senhores (as) Luiz Carlos de Souza Vieira Lopes, Presidente, Laura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apreciada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seguinte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 maté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ria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I)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Projeto de Lei n.º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59/2025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01 de outubro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2025, que autoriza o Executivo Municipal a abrir crédito adicional especial no valor de R$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8.111.487,66 (oito milhões, cento e onze mil, quatrocentos e oitenta e sete reais e sessenta e seis centavos)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Plano Plurianual-PPA, na Lei de Diretrizes Orçamentárias-LDO, e na Lei Orçamentária Anual – LOA, para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Exercício Financeiro de 2025; e II)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Projeto de Lei n.º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63/2025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10 de outubro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2025, que autoriza o Executivo Municipal a abrir crédito adicional especial no valor de R$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345.000,00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trezentos e quarenta e cinco mil reais)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Plano Plurianual-PPA, na Lei de Diretrizes Orçamentárias-LDO, e na Lei Orçamentária Anual – LOA, para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Exercício Financeiro de 2025.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Após análise, não havendo óbices de natureza constitucional, legal, regimental, ou mesmo de ordem financeira e orçamentária, opinam as Comissões Permanentes favoráveis à admissibilidade e tramitação da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proposiç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ões ora analisadas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. Colocado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em discussão e votação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fo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ram aprovados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o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parecer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es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por unanimidade, nos seguintes termos: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59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/2025, de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01 de outubro de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2025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A Senhora Prefeita Municipal, submete à apreciação da Câmara Municipal </w:t>
      </w:r>
      <w:r w:rsidRPr="00D14A02">
        <w:rPr>
          <w:rFonts w:ascii="Times New Roman" w:hAnsi="Times New Roman"/>
          <w:sz w:val="24"/>
          <w:szCs w:val="24"/>
        </w:rPr>
        <w:t>o Projeto de Lei nº 05</w:t>
      </w:r>
      <w:r>
        <w:rPr>
          <w:rFonts w:ascii="Times New Roman" w:hAnsi="Times New Roman"/>
          <w:sz w:val="24"/>
          <w:szCs w:val="24"/>
        </w:rPr>
        <w:t>9</w:t>
      </w:r>
      <w:r w:rsidRPr="00D14A02">
        <w:rPr>
          <w:rFonts w:ascii="Times New Roman" w:hAnsi="Times New Roman"/>
          <w:sz w:val="24"/>
          <w:szCs w:val="24"/>
        </w:rPr>
        <w:t xml:space="preserve">/2025, que abre no orçamento um crédito adicional especial no valor de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R$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05E6">
        <w:rPr>
          <w:rFonts w:ascii="Times New Roman" w:hAnsi="Times New Roman"/>
          <w:color w:val="000000" w:themeColor="text1"/>
          <w:sz w:val="24"/>
          <w:szCs w:val="24"/>
        </w:rPr>
        <w:t>8.111.487,66 (oito milhões, cento e onze mil, quatrocentos e oitenta e sete reais e sessenta e seis centavos),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em favor da Secretaria Municipal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Obras, Viação e Urbanismo. De acordo com a exposição dos motivos, que acompanha o projeto, </w:t>
      </w:r>
      <w:r w:rsidRPr="00D14A02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projeto de lei visa criar dotações orçamentárias no Orçamento Fiscal do Município para 2025, com finalidade de pavimentação asfáltica da Estrada Vicinal do Distrito de </w:t>
      </w:r>
      <w:proofErr w:type="spellStart"/>
      <w:r>
        <w:rPr>
          <w:rFonts w:ascii="Times New Roman" w:hAnsi="Times New Roman"/>
          <w:sz w:val="24"/>
          <w:szCs w:val="24"/>
        </w:rPr>
        <w:t>Baulândia</w:t>
      </w:r>
      <w:proofErr w:type="spellEnd"/>
      <w:r>
        <w:rPr>
          <w:rFonts w:ascii="Times New Roman" w:hAnsi="Times New Roman"/>
          <w:sz w:val="24"/>
          <w:szCs w:val="24"/>
        </w:rPr>
        <w:t>. Segundo se insere do documento os recursos serão repassados pelo Governo do Estado do Paraná, por intermédio da Secretaria de Estado das Cidades – SECID e o Serviço Social Autônomo PARANACIDADE, através do Convênio n.º 949/2025, para implementação do Programa Estadual Pavimentação de Estrada Vicinal. O valor repassado pelo Governo do Estado será de R$ 7.811.487,66, complementado por R$ 411.131,80 de contrapartida do Município. Adicionalmente, foi previsto o valor de R$ 300.000,00 para restituições em caso de sobra de recursos ou rendimentos financeiros. É</w:t>
      </w:r>
      <w:r w:rsidRPr="00D14A02">
        <w:rPr>
          <w:rFonts w:ascii="Times New Roman" w:hAnsi="Times New Roman"/>
          <w:sz w:val="24"/>
          <w:szCs w:val="24"/>
        </w:rPr>
        <w:t xml:space="preserve"> o relatório. 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D14A02">
        <w:rPr>
          <w:rFonts w:ascii="Times New Roman" w:hAnsi="Times New Roman"/>
          <w:sz w:val="24"/>
          <w:szCs w:val="24"/>
        </w:rPr>
        <w:t xml:space="preserve">Do exame do projeto, verifica-se que a iniciativa do Poder Executivo não contraria </w:t>
      </w:r>
      <w:r w:rsidRPr="00D14A02">
        <w:rPr>
          <w:rFonts w:ascii="Times New Roman" w:hAnsi="Times New Roman"/>
          <w:sz w:val="24"/>
          <w:szCs w:val="24"/>
        </w:rPr>
        <w:lastRenderedPageBreak/>
        <w:t>dispositivos constitucionais e preceitos legais pertinentes à matéria</w:t>
      </w:r>
      <w:r>
        <w:rPr>
          <w:rFonts w:ascii="Times New Roman" w:hAnsi="Times New Roman"/>
          <w:sz w:val="24"/>
          <w:szCs w:val="24"/>
        </w:rPr>
        <w:t xml:space="preserve"> em debate</w:t>
      </w:r>
      <w:r w:rsidRPr="00D14A02">
        <w:rPr>
          <w:rFonts w:ascii="Times New Roman" w:hAnsi="Times New Roman"/>
          <w:sz w:val="24"/>
          <w:szCs w:val="24"/>
        </w:rPr>
        <w:t xml:space="preserve">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Pr="00D14A02">
        <w:rPr>
          <w:rFonts w:ascii="Times New Roman" w:hAnsi="Times New Roman"/>
          <w:sz w:val="24"/>
          <w:szCs w:val="24"/>
        </w:rPr>
        <w:t>arts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14A02">
        <w:rPr>
          <w:rFonts w:ascii="Times New Roman" w:hAnsi="Times New Roman"/>
          <w:sz w:val="24"/>
          <w:szCs w:val="24"/>
        </w:rPr>
        <w:t xml:space="preserve"> 41 e 42 da Lei nº 4.320, de 1964, que regulam a espécie de crédito e as exigências para a respectiva abertura. Ainda, em atenção à d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eterminação contida no art. 43 da Lei nº 4.320/1964, foram indicados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pelo Executivo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os recursos para a execução do projeto, os quais estão previstos no art. 2º </w:t>
      </w:r>
      <w:r>
        <w:rPr>
          <w:rFonts w:ascii="Times New Roman" w:hAnsi="Times New Roman"/>
          <w:color w:val="000000" w:themeColor="text1"/>
          <w:sz w:val="24"/>
          <w:szCs w:val="24"/>
        </w:rPr>
        <w:t>do projeto (excesso de arrecadação relativo ao Convênio SECID n.º 949/2025).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Por fim, a proposta complementa as ações junto ao PPA 2021-2025, LDO/2025 e LOA/2025, garantindo compatibilidade formal exigida pela Constituição Federal (art. 165, §5º) e pela 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ei de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esponsabilidade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/>
          <w:color w:val="000000" w:themeColor="text1"/>
          <w:sz w:val="24"/>
          <w:szCs w:val="24"/>
        </w:rPr>
        <w:t>iscal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. Assim, pautado nos dispositivos legais, a Comissão de Justiça, Redação e Pareceres conclui que não há impedimentos constitucionais ou legais à aprovação da proposta, sob o aspecto jurídico e de técnica legislativa. Por sua vez, a Comissão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Finanças e Orçamento opina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pela aprovação do Projeto de Lei n.º 5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>/2025, de 2025, estando à proposição em conformidade com a Lei n.º 4.320/64 e a LRF.</w:t>
      </w:r>
      <w:r w:rsidRPr="00D14A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5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01 de outubro de 2025.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Projeto de Lei n.º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63/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2025, de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10 de outubro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de 2025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C51708">
        <w:rPr>
          <w:rFonts w:ascii="Times New Roman" w:hAnsi="Times New Roman"/>
          <w:sz w:val="24"/>
          <w:szCs w:val="24"/>
        </w:rPr>
        <w:t xml:space="preserve"> Senhora Prefeita Municipal submete à apreciação do Poder Legislativo o Projeto de Lei nº</w:t>
      </w:r>
      <w:r>
        <w:rPr>
          <w:rFonts w:ascii="Times New Roman" w:hAnsi="Times New Roman"/>
          <w:sz w:val="24"/>
          <w:szCs w:val="24"/>
        </w:rPr>
        <w:t xml:space="preserve"> 63</w:t>
      </w:r>
      <w:r w:rsidRPr="00C51708">
        <w:rPr>
          <w:rFonts w:ascii="Times New Roman" w:hAnsi="Times New Roman"/>
          <w:sz w:val="24"/>
          <w:szCs w:val="24"/>
        </w:rPr>
        <w:t xml:space="preserve">, de 2025, que abre ao Orçamento Fiscal do Município, em favor da Secretaria Municipal de </w:t>
      </w:r>
      <w:r>
        <w:rPr>
          <w:rFonts w:ascii="Times New Roman" w:hAnsi="Times New Roman"/>
          <w:sz w:val="24"/>
          <w:szCs w:val="24"/>
        </w:rPr>
        <w:t>Educação, Cultura e Esportes</w:t>
      </w:r>
      <w:r w:rsidRPr="00C51708">
        <w:rPr>
          <w:rFonts w:ascii="Times New Roman" w:hAnsi="Times New Roman"/>
          <w:sz w:val="24"/>
          <w:szCs w:val="24"/>
        </w:rPr>
        <w:t xml:space="preserve">, um crédito adicional especial no valor de R$ </w:t>
      </w:r>
      <w:r>
        <w:rPr>
          <w:rFonts w:ascii="Times New Roman" w:hAnsi="Times New Roman"/>
          <w:sz w:val="24"/>
          <w:szCs w:val="24"/>
        </w:rPr>
        <w:t>345.000,00</w:t>
      </w:r>
      <w:r w:rsidRPr="00C5170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trezentos e quarenta e cinco mil reais)</w:t>
      </w:r>
      <w:r w:rsidRPr="00C51708">
        <w:rPr>
          <w:rFonts w:ascii="Times New Roman" w:hAnsi="Times New Roman"/>
          <w:sz w:val="24"/>
          <w:szCs w:val="24"/>
        </w:rPr>
        <w:t xml:space="preserve">, para </w:t>
      </w:r>
      <w:r>
        <w:rPr>
          <w:rFonts w:ascii="Times New Roman" w:hAnsi="Times New Roman"/>
          <w:sz w:val="24"/>
          <w:szCs w:val="24"/>
        </w:rPr>
        <w:t>realização de festividades do Natal de Luz de Renascença</w:t>
      </w:r>
      <w:r w:rsidRPr="00C51708">
        <w:rPr>
          <w:rFonts w:ascii="Times New Roman" w:hAnsi="Times New Roman"/>
          <w:sz w:val="24"/>
          <w:szCs w:val="24"/>
        </w:rPr>
        <w:t>. De acordo com a Mensagem nº</w:t>
      </w:r>
      <w:r>
        <w:rPr>
          <w:rFonts w:ascii="Times New Roman" w:hAnsi="Times New Roman"/>
          <w:sz w:val="24"/>
          <w:szCs w:val="24"/>
        </w:rPr>
        <w:t xml:space="preserve"> 63</w:t>
      </w:r>
      <w:r w:rsidRPr="00C51708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10</w:t>
      </w:r>
      <w:r w:rsidRPr="00C5170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C51708">
        <w:rPr>
          <w:rFonts w:ascii="Times New Roman" w:hAnsi="Times New Roman"/>
          <w:sz w:val="24"/>
          <w:szCs w:val="24"/>
        </w:rPr>
        <w:t xml:space="preserve">/2025, que acompanha a proposição, o crédito visa criar dotações no orçamento vigente do mencionado órgão. </w:t>
      </w:r>
      <w:r>
        <w:rPr>
          <w:rFonts w:ascii="Times New Roman" w:hAnsi="Times New Roman"/>
          <w:sz w:val="24"/>
          <w:szCs w:val="24"/>
        </w:rPr>
        <w:t xml:space="preserve">Esclarece que </w:t>
      </w:r>
      <w:r w:rsidRPr="00C51708">
        <w:rPr>
          <w:rFonts w:ascii="Times New Roman" w:hAnsi="Times New Roman"/>
          <w:sz w:val="24"/>
          <w:szCs w:val="24"/>
        </w:rPr>
        <w:t xml:space="preserve">os recursos </w:t>
      </w:r>
      <w:r>
        <w:rPr>
          <w:rFonts w:ascii="Times New Roman" w:hAnsi="Times New Roman"/>
          <w:sz w:val="24"/>
          <w:szCs w:val="24"/>
        </w:rPr>
        <w:t>do projeto serão repassados pelo Governo do Estado do Paraná, por intermédio da Secretaria de Estado do Turismo – SETU, através do Convênio 438/2025 – SETU, para implementação do Programa Paraná Mais Eventos, instituído pela Lei n.º 21760/2023 e regulamentado pelo Decreto Estadual n.º 7.627/2024, e que o Município irá utilizar os recursos para as festividades de final de ano. Consta ainda da motivação que o valor repassado pelo Governo do Estado será de R$ 300.000,00, complementado por R$ 38.462,34 de contrapartida do Município (recursos livres). Por fim, destaca que no projeto foi previsto também um valor de R$ 45.000,00, que será destinado para devolução caso haja sobras de recursos do convênio.</w:t>
      </w:r>
      <w:r w:rsidRPr="00C51708">
        <w:rPr>
          <w:rFonts w:ascii="Times New Roman" w:hAnsi="Times New Roman"/>
          <w:sz w:val="24"/>
          <w:szCs w:val="24"/>
        </w:rPr>
        <w:t xml:space="preserve"> É o relatório.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O projeto de lei é de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sz w:val="24"/>
          <w:szCs w:val="24"/>
        </w:rPr>
        <w:t xml:space="preserve">iniciativa privativa do Poder Executivo, eis que relacionado à abertura de crédito adicional especial ao orçamento em vigor, estando em conformidade com a Constituição Federal e preceitos legais pertinentes à matéria. Ademais, encontram-se satisfeitas as disposições constitucionais do art. 167, incisos V e VI, que vedam a abertura de crédito especial sem prévia autorização legal e sem indicação dos recursos correspondentes, bem como a transposição, o remanejamento ou a transferência de recursos de uma categoria de programação para outra, sem prévia autorização legislativa. O crédito obedece ao princípio da legalidade e será viabilizado mediante lei, à conta do excesso de arrecadação </w:t>
      </w:r>
      <w:r>
        <w:rPr>
          <w:rFonts w:ascii="Times New Roman" w:hAnsi="Times New Roman"/>
          <w:sz w:val="24"/>
          <w:szCs w:val="24"/>
        </w:rPr>
        <w:lastRenderedPageBreak/>
        <w:t>dos recursos provindos do Convênio SETU n.º 438/2025 do Programa Paraná Mais Eventos, instituído pela Lei n.º 21760/2023 e regulamentado pelo Decreto Estadual n.º 7.627/2024</w:t>
      </w:r>
      <w:r w:rsidRPr="00C51708">
        <w:rPr>
          <w:rFonts w:ascii="Times New Roman" w:hAnsi="Times New Roman"/>
          <w:sz w:val="24"/>
          <w:szCs w:val="24"/>
        </w:rPr>
        <w:t xml:space="preserve">, observado o disposto no art. 43, § 1º, inciso II, da Lei nº 4.320, de 1964 e em conformidade com as prescrições do art. 167, inciso V, da Constituição. 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Por fim, a proposição complementa as ações junto ao PPA 2021-2025, LDO/2025 e LOA/2025, garantindo compatibilidade formal exigida pela Constituição Federal (art. 165, §5º) e pela Lei de Responsabilidade Fiscal. Assim, pautado nos dispositivos legais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 na Constituição Federal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, a Comissão de Justiça, Redação e Pareceres conclui que não há impedimentos constitucionais ou legais à aprovação da proposta. Por sua vez, a Comissão de Finanças e Orçamento opina também pela aprovação do Projeto de Lei n.º </w:t>
      </w:r>
      <w:r>
        <w:rPr>
          <w:rFonts w:ascii="Times New Roman" w:hAnsi="Times New Roman"/>
          <w:color w:val="000000" w:themeColor="text1"/>
          <w:sz w:val="24"/>
          <w:szCs w:val="24"/>
        </w:rPr>
        <w:t>63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/2025, de 2025, estando à proposição em conformidade com a Lei n.º 4.320/64 e a Lei Complementar n.º 101, de 2000 (Lei de Responsabilidade Fiscal).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</w:t>
      </w:r>
      <w:r>
        <w:rPr>
          <w:rFonts w:ascii="Times New Roman" w:hAnsi="Times New Roman"/>
          <w:color w:val="000000" w:themeColor="text1"/>
          <w:sz w:val="24"/>
          <w:szCs w:val="24"/>
        </w:rPr>
        <w:t>63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/>
          <w:color w:val="000000" w:themeColor="text1"/>
          <w:sz w:val="24"/>
          <w:szCs w:val="24"/>
        </w:rPr>
        <w:t>10 de outubro d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e 2025.</w:t>
      </w:r>
    </w:p>
    <w:p w14:paraId="617B9A1B" w14:textId="77777777" w:rsidR="0037527B" w:rsidRDefault="0037527B" w:rsidP="0037527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A85164" w14:textId="77777777" w:rsidR="0037527B" w:rsidRDefault="0037527B" w:rsidP="0037527B">
      <w:bookmarkStart w:id="0" w:name="_GoBack"/>
      <w:bookmarkEnd w:id="0"/>
    </w:p>
    <w:p w14:paraId="24DC60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/>
        </w:rPr>
      </w:pPr>
    </w:p>
    <w:p w14:paraId="46AF843B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0BE4E311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3A30C3B9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7BD169E5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66A8E7A6" w14:textId="77777777" w:rsidR="00DB11C4" w:rsidRPr="009E31E9" w:rsidRDefault="00DB11C4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3925FD5" w14:textId="77777777" w:rsidR="009E31E9" w:rsidRPr="009E31E9" w:rsidRDefault="009E31E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57776C4D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1B82A31C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9E31E9" w:rsidRDefault="00BB4879" w:rsidP="00756466">
      <w:pPr>
        <w:spacing w:line="360" w:lineRule="auto"/>
        <w:jc w:val="center"/>
      </w:pPr>
      <w:r w:rsidRPr="009E31E9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9E31E9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7CF6D" w14:textId="77777777" w:rsidR="004E0921" w:rsidRDefault="004E0921" w:rsidP="000D6C47">
      <w:pPr>
        <w:spacing w:after="0" w:line="240" w:lineRule="auto"/>
      </w:pPr>
      <w:r>
        <w:separator/>
      </w:r>
    </w:p>
  </w:endnote>
  <w:endnote w:type="continuationSeparator" w:id="0">
    <w:p w14:paraId="277194A3" w14:textId="77777777" w:rsidR="004E0921" w:rsidRDefault="004E0921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13C51" w14:textId="77777777" w:rsidR="004E0921" w:rsidRDefault="004E0921" w:rsidP="000D6C47">
      <w:pPr>
        <w:spacing w:after="0" w:line="240" w:lineRule="auto"/>
      </w:pPr>
      <w:r>
        <w:separator/>
      </w:r>
    </w:p>
  </w:footnote>
  <w:footnote w:type="continuationSeparator" w:id="0">
    <w:p w14:paraId="731D83C0" w14:textId="77777777" w:rsidR="004E0921" w:rsidRDefault="004E0921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72B7"/>
    <w:rsid w:val="001876E2"/>
    <w:rsid w:val="00194ACF"/>
    <w:rsid w:val="001B520C"/>
    <w:rsid w:val="001E0608"/>
    <w:rsid w:val="001E0D3C"/>
    <w:rsid w:val="001E5074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76AC"/>
    <w:rsid w:val="00454DD9"/>
    <w:rsid w:val="00470131"/>
    <w:rsid w:val="00473524"/>
    <w:rsid w:val="00487D8F"/>
    <w:rsid w:val="004A2A44"/>
    <w:rsid w:val="004A609E"/>
    <w:rsid w:val="004A6FD7"/>
    <w:rsid w:val="004B3CD0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93D4A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58C9"/>
    <w:rsid w:val="00A96C57"/>
    <w:rsid w:val="00AC0D6F"/>
    <w:rsid w:val="00AC2493"/>
    <w:rsid w:val="00B00F1C"/>
    <w:rsid w:val="00B20704"/>
    <w:rsid w:val="00B25A4C"/>
    <w:rsid w:val="00B307D6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439F"/>
    <w:rsid w:val="00DC6521"/>
    <w:rsid w:val="00DE5BE3"/>
    <w:rsid w:val="00E0063C"/>
    <w:rsid w:val="00E237B5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C39D2"/>
    <w:rsid w:val="00F02E7C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13</cp:revision>
  <cp:lastPrinted>2025-08-14T19:40:00Z</cp:lastPrinted>
  <dcterms:created xsi:type="dcterms:W3CDTF">2025-09-09T19:47:00Z</dcterms:created>
  <dcterms:modified xsi:type="dcterms:W3CDTF">2025-10-14T23:01:00Z</dcterms:modified>
</cp:coreProperties>
</file>