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05AE" w14:textId="57A93B1E" w:rsidR="00C82353" w:rsidRDefault="006B0539" w:rsidP="00C82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2D2">
        <w:rPr>
          <w:rFonts w:ascii="Times New Roman" w:hAnsi="Times New Roman"/>
          <w:bCs/>
          <w:color w:val="000000" w:themeColor="text1"/>
        </w:rPr>
        <w:t>Ata da</w:t>
      </w:r>
      <w:r w:rsidR="00645D09" w:rsidRPr="006602D2">
        <w:rPr>
          <w:rFonts w:ascii="Times New Roman" w:hAnsi="Times New Roman"/>
          <w:bCs/>
          <w:color w:val="000000" w:themeColor="text1"/>
        </w:rPr>
        <w:t xml:space="preserve"> </w:t>
      </w:r>
      <w:r w:rsidR="004A609E" w:rsidRPr="006602D2">
        <w:rPr>
          <w:rFonts w:ascii="Times New Roman" w:hAnsi="Times New Roman"/>
          <w:bCs/>
          <w:color w:val="000000" w:themeColor="text1"/>
        </w:rPr>
        <w:t>décima</w:t>
      </w:r>
      <w:r w:rsidRPr="006602D2">
        <w:rPr>
          <w:rFonts w:ascii="Times New Roman" w:hAnsi="Times New Roman"/>
          <w:bCs/>
          <w:color w:val="000000" w:themeColor="text1"/>
        </w:rPr>
        <w:t xml:space="preserve"> </w:t>
      </w:r>
      <w:r w:rsidR="00653D89">
        <w:rPr>
          <w:rFonts w:ascii="Times New Roman" w:hAnsi="Times New Roman"/>
          <w:bCs/>
          <w:color w:val="000000" w:themeColor="text1"/>
        </w:rPr>
        <w:t>segunda</w:t>
      </w:r>
      <w:r w:rsidR="00C406FB" w:rsidRPr="006602D2">
        <w:rPr>
          <w:rFonts w:ascii="Times New Roman" w:hAnsi="Times New Roman"/>
          <w:bCs/>
          <w:color w:val="000000" w:themeColor="text1"/>
        </w:rPr>
        <w:t xml:space="preserve"> </w:t>
      </w:r>
      <w:r w:rsidR="00123EAA" w:rsidRPr="006602D2">
        <w:rPr>
          <w:rFonts w:ascii="Times New Roman" w:hAnsi="Times New Roman"/>
          <w:bCs/>
          <w:color w:val="000000" w:themeColor="text1"/>
        </w:rPr>
        <w:t>r</w:t>
      </w:r>
      <w:r w:rsidRPr="006602D2">
        <w:rPr>
          <w:rFonts w:ascii="Times New Roman" w:hAnsi="Times New Roman"/>
          <w:bCs/>
          <w:color w:val="000000" w:themeColor="text1"/>
        </w:rPr>
        <w:t xml:space="preserve">eunião </w:t>
      </w:r>
      <w:r w:rsidR="00123EAA" w:rsidRPr="006602D2">
        <w:rPr>
          <w:rFonts w:ascii="Times New Roman" w:hAnsi="Times New Roman"/>
          <w:bCs/>
          <w:color w:val="000000" w:themeColor="text1"/>
        </w:rPr>
        <w:t>c</w:t>
      </w:r>
      <w:r w:rsidRPr="006602D2">
        <w:rPr>
          <w:rFonts w:ascii="Times New Roman" w:hAnsi="Times New Roman"/>
          <w:bCs/>
          <w:color w:val="000000" w:themeColor="text1"/>
        </w:rPr>
        <w:t xml:space="preserve">onjunta da Comissão de Justiça, Redação e Pareceres e da </w:t>
      </w:r>
      <w:r w:rsidR="00123EAA" w:rsidRPr="006602D2">
        <w:rPr>
          <w:rFonts w:ascii="Times New Roman" w:hAnsi="Times New Roman"/>
          <w:bCs/>
          <w:color w:val="000000" w:themeColor="text1"/>
        </w:rPr>
        <w:t>c</w:t>
      </w:r>
      <w:r w:rsidRPr="006602D2">
        <w:rPr>
          <w:rFonts w:ascii="Times New Roman" w:hAnsi="Times New Roman"/>
          <w:bCs/>
          <w:color w:val="000000" w:themeColor="text1"/>
        </w:rPr>
        <w:t xml:space="preserve">omissão de Finanças e Orçamento da Câmara Municipal de Vereadores de Renascença. Aos </w:t>
      </w:r>
      <w:r w:rsidR="004C3BC5">
        <w:rPr>
          <w:rFonts w:ascii="Times New Roman" w:hAnsi="Times New Roman"/>
          <w:bCs/>
          <w:color w:val="000000" w:themeColor="text1"/>
        </w:rPr>
        <w:t>oito</w:t>
      </w:r>
      <w:r w:rsidRPr="006602D2">
        <w:rPr>
          <w:rFonts w:ascii="Times New Roman" w:hAnsi="Times New Roman"/>
          <w:bCs/>
          <w:color w:val="000000" w:themeColor="text1"/>
        </w:rPr>
        <w:t xml:space="preserve"> do mês de </w:t>
      </w:r>
      <w:r w:rsidR="00653D89">
        <w:rPr>
          <w:rFonts w:ascii="Times New Roman" w:hAnsi="Times New Roman"/>
          <w:bCs/>
          <w:color w:val="000000" w:themeColor="text1"/>
        </w:rPr>
        <w:t>maio</w:t>
      </w:r>
      <w:r w:rsidRPr="006602D2">
        <w:rPr>
          <w:rFonts w:ascii="Times New Roman" w:hAnsi="Times New Roman"/>
          <w:bCs/>
          <w:color w:val="000000" w:themeColor="text1"/>
        </w:rPr>
        <w:t xml:space="preserve"> de 2025, junto a </w:t>
      </w:r>
      <w:r w:rsidR="008F2DD2" w:rsidRPr="006602D2">
        <w:rPr>
          <w:rFonts w:ascii="Times New Roman" w:hAnsi="Times New Roman"/>
          <w:bCs/>
          <w:color w:val="000000" w:themeColor="text1"/>
        </w:rPr>
        <w:t>s</w:t>
      </w:r>
      <w:r w:rsidRPr="006602D2">
        <w:rPr>
          <w:rFonts w:ascii="Times New Roman" w:hAnsi="Times New Roman"/>
          <w:bCs/>
          <w:color w:val="000000" w:themeColor="text1"/>
        </w:rPr>
        <w:t xml:space="preserve">ala de </w:t>
      </w:r>
      <w:r w:rsidR="008F2DD2" w:rsidRPr="006602D2">
        <w:rPr>
          <w:rFonts w:ascii="Times New Roman" w:hAnsi="Times New Roman"/>
          <w:bCs/>
          <w:color w:val="000000" w:themeColor="text1"/>
        </w:rPr>
        <w:t>r</w:t>
      </w:r>
      <w:r w:rsidRPr="006602D2">
        <w:rPr>
          <w:rFonts w:ascii="Times New Roman" w:hAnsi="Times New Roman"/>
          <w:bCs/>
          <w:color w:val="000000" w:themeColor="text1"/>
        </w:rPr>
        <w:t xml:space="preserve">euniões das </w:t>
      </w:r>
      <w:r w:rsidR="008F2DD2" w:rsidRPr="006602D2">
        <w:rPr>
          <w:rFonts w:ascii="Times New Roman" w:hAnsi="Times New Roman"/>
          <w:bCs/>
          <w:color w:val="000000" w:themeColor="text1"/>
        </w:rPr>
        <w:t>c</w:t>
      </w:r>
      <w:r w:rsidRPr="006602D2">
        <w:rPr>
          <w:rFonts w:ascii="Times New Roman" w:hAnsi="Times New Roman"/>
          <w:bCs/>
          <w:color w:val="000000" w:themeColor="text1"/>
        </w:rPr>
        <w:t xml:space="preserve">omissões, reuniram-se os </w:t>
      </w:r>
      <w:r w:rsidR="008F2DD2" w:rsidRPr="006602D2">
        <w:rPr>
          <w:rFonts w:ascii="Times New Roman" w:hAnsi="Times New Roman"/>
          <w:bCs/>
          <w:color w:val="000000" w:themeColor="text1"/>
        </w:rPr>
        <w:t>v</w:t>
      </w:r>
      <w:r w:rsidRPr="006602D2">
        <w:rPr>
          <w:rFonts w:ascii="Times New Roman" w:hAnsi="Times New Roman"/>
          <w:bCs/>
          <w:color w:val="000000" w:themeColor="text1"/>
        </w:rPr>
        <w:t xml:space="preserve">ereadores (as) para </w:t>
      </w:r>
      <w:r w:rsidR="008F2DD2" w:rsidRPr="006602D2">
        <w:rPr>
          <w:rFonts w:ascii="Times New Roman" w:hAnsi="Times New Roman"/>
          <w:bCs/>
          <w:color w:val="000000" w:themeColor="text1"/>
        </w:rPr>
        <w:t>r</w:t>
      </w:r>
      <w:r w:rsidRPr="006602D2">
        <w:rPr>
          <w:rFonts w:ascii="Times New Roman" w:hAnsi="Times New Roman"/>
          <w:bCs/>
          <w:color w:val="000000" w:themeColor="text1"/>
        </w:rPr>
        <w:t xml:space="preserve">eunião </w:t>
      </w:r>
      <w:r w:rsidR="008F2DD2" w:rsidRPr="006602D2">
        <w:rPr>
          <w:rFonts w:ascii="Times New Roman" w:hAnsi="Times New Roman"/>
          <w:bCs/>
          <w:color w:val="000000" w:themeColor="text1"/>
        </w:rPr>
        <w:t>c</w:t>
      </w:r>
      <w:r w:rsidRPr="006602D2">
        <w:rPr>
          <w:rFonts w:ascii="Times New Roman" w:hAnsi="Times New Roman"/>
          <w:bCs/>
          <w:color w:val="000000" w:themeColor="text1"/>
        </w:rPr>
        <w:t xml:space="preserve">onjunta das </w:t>
      </w:r>
      <w:r w:rsidR="008F2DD2" w:rsidRPr="006602D2">
        <w:rPr>
          <w:rFonts w:ascii="Times New Roman" w:hAnsi="Times New Roman"/>
          <w:bCs/>
          <w:color w:val="000000" w:themeColor="text1"/>
        </w:rPr>
        <w:t>c</w:t>
      </w:r>
      <w:r w:rsidRPr="006602D2">
        <w:rPr>
          <w:rFonts w:ascii="Times New Roman" w:hAnsi="Times New Roman"/>
          <w:bCs/>
          <w:color w:val="000000" w:themeColor="text1"/>
        </w:rPr>
        <w:t xml:space="preserve">omissões </w:t>
      </w:r>
      <w:r w:rsidR="008F2DD2" w:rsidRPr="006602D2">
        <w:rPr>
          <w:rFonts w:ascii="Times New Roman" w:hAnsi="Times New Roman"/>
          <w:bCs/>
          <w:color w:val="000000" w:themeColor="text1"/>
        </w:rPr>
        <w:t>p</w:t>
      </w:r>
      <w:r w:rsidRPr="006602D2">
        <w:rPr>
          <w:rFonts w:ascii="Times New Roman" w:hAnsi="Times New Roman"/>
          <w:bCs/>
          <w:color w:val="000000" w:themeColor="text1"/>
        </w:rPr>
        <w:t xml:space="preserve">ermanentes. </w:t>
      </w:r>
      <w:r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Pela </w:t>
      </w:r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>c</w:t>
      </w:r>
      <w:r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omissão de </w:t>
      </w:r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>j</w:t>
      </w:r>
      <w:r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ustiça, </w:t>
      </w:r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>r</w:t>
      </w:r>
      <w:r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edação e </w:t>
      </w:r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>p</w:t>
      </w:r>
      <w:r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areceres estiveram presentes os </w:t>
      </w:r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>s</w:t>
      </w:r>
      <w:r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enhores (as) </w:t>
      </w:r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>Luiz Carlos de Souza Vieira Lopes,</w:t>
      </w:r>
      <w:r w:rsidR="008F2DD2" w:rsidRPr="006602D2">
        <w:rPr>
          <w:rFonts w:ascii="Times New Roman" w:hAnsi="Times New Roman"/>
          <w:bCs/>
          <w:color w:val="FF0000"/>
          <w:shd w:val="clear" w:color="auto" w:fill="FFFFFF"/>
        </w:rPr>
        <w:t xml:space="preserve"> </w:t>
      </w:r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presidente, Laura </w:t>
      </w:r>
      <w:proofErr w:type="spellStart"/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>Southier</w:t>
      </w:r>
      <w:proofErr w:type="spellEnd"/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="008F2DD2" w:rsidRPr="006602D2">
        <w:rPr>
          <w:rFonts w:ascii="Times New Roman" w:hAnsi="Times New Roman"/>
          <w:bCs/>
          <w:color w:val="000000" w:themeColor="text1"/>
        </w:rPr>
        <w:t xml:space="preserve">Marcos Antônio </w:t>
      </w:r>
      <w:proofErr w:type="spellStart"/>
      <w:r w:rsidR="008F2DD2" w:rsidRPr="006602D2">
        <w:rPr>
          <w:rFonts w:ascii="Times New Roman" w:hAnsi="Times New Roman"/>
          <w:bCs/>
          <w:color w:val="000000" w:themeColor="text1"/>
        </w:rPr>
        <w:t>Valandro</w:t>
      </w:r>
      <w:proofErr w:type="spellEnd"/>
      <w:r w:rsidR="008F2DD2" w:rsidRPr="006602D2">
        <w:rPr>
          <w:rFonts w:ascii="Times New Roman" w:hAnsi="Times New Roman"/>
          <w:bCs/>
          <w:color w:val="000000" w:themeColor="text1"/>
        </w:rPr>
        <w:t xml:space="preserve">, presidente, Luana </w:t>
      </w:r>
      <w:proofErr w:type="spellStart"/>
      <w:r w:rsidR="008F2DD2" w:rsidRPr="006602D2">
        <w:rPr>
          <w:rFonts w:ascii="Times New Roman" w:hAnsi="Times New Roman"/>
          <w:bCs/>
          <w:color w:val="000000" w:themeColor="text1"/>
        </w:rPr>
        <w:t>Stiz</w:t>
      </w:r>
      <w:proofErr w:type="spellEnd"/>
      <w:r w:rsidR="008F2DD2" w:rsidRPr="006602D2">
        <w:rPr>
          <w:rFonts w:ascii="Times New Roman" w:hAnsi="Times New Roman"/>
          <w:bCs/>
          <w:color w:val="000000" w:themeColor="text1"/>
        </w:rPr>
        <w:t xml:space="preserve">, vice-presidente e Jonas Maria de Oliveira, 1º secretário. </w:t>
      </w:r>
      <w:r w:rsidR="008F2DD2" w:rsidRPr="006602D2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Havendo número regimental, foi declarada aberta a reunião, a qual foi convocada com a finalidade de apreciar a seguinte </w:t>
      </w:r>
      <w:r w:rsidR="007F1EE6" w:rsidRPr="006602D2">
        <w:rPr>
          <w:rFonts w:ascii="Times New Roman" w:hAnsi="Times New Roman"/>
          <w:bCs/>
          <w:color w:val="000000" w:themeColor="text1"/>
        </w:rPr>
        <w:t>matéria</w:t>
      </w:r>
      <w:r w:rsidR="008F2DD2" w:rsidRPr="006602D2">
        <w:rPr>
          <w:rFonts w:ascii="Times New Roman" w:hAnsi="Times New Roman"/>
          <w:bCs/>
          <w:color w:val="000000" w:themeColor="text1"/>
        </w:rPr>
        <w:t>:</w:t>
      </w:r>
      <w:r w:rsidR="007F1EE6" w:rsidRPr="006602D2">
        <w:rPr>
          <w:rFonts w:ascii="Times New Roman" w:hAnsi="Times New Roman"/>
          <w:bCs/>
          <w:color w:val="000000" w:themeColor="text1"/>
        </w:rPr>
        <w:t xml:space="preserve"> </w:t>
      </w:r>
      <w:r w:rsidR="00C82353" w:rsidRPr="00C82353">
        <w:rPr>
          <w:rFonts w:ascii="Times New Roman" w:hAnsi="Times New Roman"/>
          <w:bCs/>
          <w:color w:val="000000" w:themeColor="text1"/>
          <w:sz w:val="24"/>
          <w:szCs w:val="24"/>
        </w:rPr>
        <w:t>(a) Projeto de Lei nº 31, de 15 de abril de 2025, que autoriza o Executivo Municipal a receber bem imóvel a título de Antecipação De Doação e dá outras providências.</w:t>
      </w:r>
      <w:r w:rsidR="00C82353" w:rsidRPr="00C82353">
        <w:rPr>
          <w:rFonts w:ascii="Times New Roman" w:hAnsi="Times New Roman"/>
          <w:bCs/>
          <w:sz w:val="24"/>
          <w:szCs w:val="24"/>
        </w:rPr>
        <w:t xml:space="preserve"> </w:t>
      </w:r>
      <w:r w:rsidR="00C82353" w:rsidRPr="00C82353">
        <w:rPr>
          <w:rFonts w:ascii="Times New Roman" w:hAnsi="Times New Roman"/>
          <w:bCs/>
          <w:color w:val="000000" w:themeColor="text1"/>
          <w:sz w:val="24"/>
          <w:szCs w:val="24"/>
        </w:rPr>
        <w:t>Após análise, não havendo óbices de natureza constitucional, legal, regimental, ou mesmo de ordem financeira e orçamentária, opinam as Comissões Permanentes favoráveis à admissibilidade e tramitação da proposição ora analisada. Colocado em discussão e votação</w:t>
      </w:r>
      <w:r w:rsidR="00C82353" w:rsidRPr="00C8235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foi aprovado o parecer por unanimidade, nos seguintes termos: </w:t>
      </w:r>
      <w:r w:rsidR="00C82353" w:rsidRPr="00C8235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Projeto de Lei n.º 31, de 15 de abril de 2025.</w:t>
      </w:r>
      <w:r w:rsidR="00C82353" w:rsidRPr="00C8235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Relatório:</w:t>
      </w:r>
      <w:r w:rsidR="00C82353" w:rsidRPr="002277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>De autoria do Poder Executivo, o Projeto de Lei n.º 31, de 15 de abril de 2025, tem por objeto autorizar o Poder Executivo Municipal a receber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 em doação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, a título de antecipação de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>área institucional, uma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 área de 14.000 m2 pertencente à empresa </w:t>
      </w:r>
      <w:proofErr w:type="spellStart"/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>Belly</w:t>
      </w:r>
      <w:proofErr w:type="spellEnd"/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 Administradora de Bens Ltda, que faz parte d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>e um todo maior d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a matrícula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>n.º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 13.571, como parte de futura compensação de área institucional de loteamento urbano ser realizado sobre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imóvel da matrícula 7.051, nos termos da Lei Complementar Municipal n.º 28, de 27 de maio de 2020. O projeto é composto de 7 (sete) artigos. Em justificativa, que acompanha o projeto, informa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a Prefeita Municipal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>que “a área de terras que se busca a autorização legislativa para sua aquisição por doação pelo Poder Executivo Municipal possui características específicas que justificam sua relevância, em razão d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 estar localizada na divisa de conjunto habitacional já com projeto de implantação aprovado. Dessa forma, é de interesse público o recebimento antecipado, considerando a presente área para fins sociais, reduzindo do percentual a ser destinado ao Município, nos termos Lei Municipal que dispõe sobre o parcelamento do solo urbano”. Em anexo ao projeto, for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>am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 encaminhados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 os seguintes documentos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: 1) requerimento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>para antecipação de doação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; 2) mapa de localização; 3) CNPJ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da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empresa; 4) contrato social atualizado; 5) documentos pessoais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dos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>sócios; 6) certidões negativas; e 7) pareceres técnicos de avaliação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 mercadológica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>. Também, em complementação, fo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>ram juntados os laudos de avaliações elaborados pela Comissão Especial do Poder Executivo, emitidos em 09 de abril de 2025, e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 a Ata n.º 002/2025 do Conselho da Cidade (CONCIDADE), datada de 14 de abril de 2025,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com parecer do conselho favorável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à antecipação e entrega da área institucional onde será implantado o loteamento. É o relatório. </w:t>
      </w:r>
      <w:r w:rsidR="00C82353" w:rsidRPr="002277A3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 Do ponto de vista formal, o projeto de lei fundamenta-se no artigo 57, </w:t>
      </w:r>
      <w:r w:rsidR="00C82353" w:rsidRPr="002277A3">
        <w:rPr>
          <w:rFonts w:ascii="Times New Roman" w:hAnsi="Times New Roman"/>
          <w:i/>
          <w:color w:val="000000" w:themeColor="text1"/>
          <w:sz w:val="24"/>
          <w:szCs w:val="24"/>
        </w:rPr>
        <w:t>caput,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 da Lei Orgânica e no artigo 61, </w:t>
      </w:r>
      <w:r w:rsidR="00C82353" w:rsidRPr="002277A3">
        <w:rPr>
          <w:rFonts w:ascii="Times New Roman" w:hAnsi="Times New Roman"/>
          <w:i/>
          <w:color w:val="000000" w:themeColor="text1"/>
          <w:sz w:val="24"/>
          <w:szCs w:val="24"/>
        </w:rPr>
        <w:t>caput,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 da Constituição Federal.  A espécie normativa é adequada, estando correta a alteração por meio de lei ordinária. A matéria trata de assunto de interesse local, encontrando previsão no art. 30, I, da Constituição Federal c/c art. 8º, I, da Lei Orgânica.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Através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>do projeto objetiva-se autorizar o Poder Executivo a receber em doação uma área de 14.000 m2 como antecipação parcial de área institucional. O artigo 17, inciso IX, da Lei Orgânica, estabelece que compete à</w:t>
      </w:r>
      <w:r w:rsidR="00C82353" w:rsidRPr="002277A3">
        <w:rPr>
          <w:rFonts w:ascii="Times New Roman" w:hAnsi="Times New Roman"/>
          <w:sz w:val="24"/>
          <w:szCs w:val="24"/>
        </w:rPr>
        <w:t xml:space="preserve"> Câmara Municipal, com a sanção do Prefeito, “autorizar a aquisição de bens imóveis, salvo quando se tratar de doação sem encargos”. O Município pode, portanto, receber bens imóveis por doação, desde que haja autorização legislativa e que a doação atenda ao interesse público. </w:t>
      </w:r>
      <w:r w:rsidR="00C82353">
        <w:rPr>
          <w:rFonts w:ascii="Times New Roman" w:hAnsi="Times New Roman"/>
          <w:sz w:val="24"/>
          <w:szCs w:val="24"/>
        </w:rPr>
        <w:t>No caso em exame, o</w:t>
      </w:r>
      <w:r w:rsidR="00C82353" w:rsidRPr="002277A3">
        <w:rPr>
          <w:rFonts w:ascii="Times New Roman" w:hAnsi="Times New Roman"/>
          <w:sz w:val="24"/>
          <w:szCs w:val="24"/>
        </w:rPr>
        <w:t xml:space="preserve"> projeto especifica o interesse público no </w:t>
      </w:r>
      <w:r w:rsidR="00C82353" w:rsidRPr="002277A3">
        <w:rPr>
          <w:rFonts w:ascii="Times New Roman" w:hAnsi="Times New Roman"/>
          <w:sz w:val="24"/>
          <w:szCs w:val="24"/>
        </w:rPr>
        <w:lastRenderedPageBreak/>
        <w:t xml:space="preserve">recebimento da referida área, </w:t>
      </w:r>
      <w:r w:rsidR="00C82353">
        <w:rPr>
          <w:rFonts w:ascii="Times New Roman" w:hAnsi="Times New Roman"/>
          <w:sz w:val="24"/>
          <w:szCs w:val="24"/>
        </w:rPr>
        <w:t xml:space="preserve">a qual </w:t>
      </w:r>
      <w:r w:rsidR="00C82353" w:rsidRPr="002277A3">
        <w:rPr>
          <w:rFonts w:ascii="Times New Roman" w:hAnsi="Times New Roman"/>
          <w:sz w:val="24"/>
          <w:szCs w:val="24"/>
        </w:rPr>
        <w:t xml:space="preserve">será destinada a implantação de um empreendimento habitacional de interesse social, </w:t>
      </w:r>
      <w:r w:rsidR="00C82353">
        <w:rPr>
          <w:rFonts w:ascii="Times New Roman" w:hAnsi="Times New Roman"/>
          <w:sz w:val="24"/>
          <w:szCs w:val="24"/>
        </w:rPr>
        <w:t>que já se encontra inclusive aprovado, conforme mensagem encaminhada pelo</w:t>
      </w:r>
      <w:r w:rsidR="00C82353" w:rsidRPr="002277A3">
        <w:rPr>
          <w:rFonts w:ascii="Times New Roman" w:hAnsi="Times New Roman"/>
          <w:sz w:val="24"/>
          <w:szCs w:val="24"/>
        </w:rPr>
        <w:t xml:space="preserve"> Poder Executivo</w:t>
      </w:r>
      <w:r w:rsidR="00C82353">
        <w:rPr>
          <w:rFonts w:ascii="Times New Roman" w:hAnsi="Times New Roman"/>
          <w:sz w:val="24"/>
          <w:szCs w:val="24"/>
        </w:rPr>
        <w:t>.</w:t>
      </w:r>
      <w:r w:rsidR="00C82353" w:rsidRPr="002277A3">
        <w:rPr>
          <w:rFonts w:ascii="Times New Roman" w:hAnsi="Times New Roman"/>
          <w:sz w:val="24"/>
          <w:szCs w:val="24"/>
        </w:rPr>
        <w:t xml:space="preserve"> Por sua vez, </w:t>
      </w:r>
      <w:r w:rsidR="00C82353">
        <w:rPr>
          <w:rFonts w:ascii="Times New Roman" w:hAnsi="Times New Roman"/>
          <w:sz w:val="24"/>
          <w:szCs w:val="24"/>
        </w:rPr>
        <w:t xml:space="preserve">consta dos documentos que </w:t>
      </w:r>
      <w:r w:rsidR="00C82353" w:rsidRPr="002277A3">
        <w:rPr>
          <w:rFonts w:ascii="Times New Roman" w:hAnsi="Times New Roman"/>
          <w:sz w:val="24"/>
          <w:szCs w:val="24"/>
        </w:rPr>
        <w:t>a proposta foi aprovada pelo Conselho da Cidade (CONCIDADE), considerando o interesse público no projeto. Dessa forma, após análise, a Comissão de Justiça, R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edação e Pareceres se manifesta pela legalidade, sendo a proposta </w:t>
      </w:r>
      <w:r w:rsidR="00C82353" w:rsidRPr="002277A3">
        <w:rPr>
          <w:rFonts w:ascii="Times New Roman" w:hAnsi="Times New Roman"/>
          <w:sz w:val="24"/>
          <w:szCs w:val="24"/>
        </w:rPr>
        <w:t xml:space="preserve">legal e constitucional, motivo pelo qual, por unanimidade, recebeu parecer favorável. A Comissão de Finanças e Orçamento nada tem a opor. </w:t>
      </w:r>
      <w:r w:rsidR="00C82353">
        <w:rPr>
          <w:rFonts w:ascii="Times New Roman" w:hAnsi="Times New Roman"/>
          <w:sz w:val="24"/>
          <w:szCs w:val="24"/>
        </w:rPr>
        <w:t>Isto porque d</w:t>
      </w:r>
      <w:r w:rsidR="00C82353" w:rsidRPr="002277A3">
        <w:rPr>
          <w:rFonts w:ascii="Times New Roman" w:hAnsi="Times New Roman"/>
          <w:sz w:val="24"/>
          <w:szCs w:val="24"/>
        </w:rPr>
        <w:t xml:space="preserve">o ponto de vista orçamentário e financeiro, o projeto não gera, em princípio, ônus ao erário, uma vez que se trata de recebimento de bem imóvel por doação. Assim, não há impedimentos </w:t>
      </w:r>
      <w:r w:rsidR="00C82353">
        <w:rPr>
          <w:rFonts w:ascii="Times New Roman" w:hAnsi="Times New Roman"/>
          <w:sz w:val="24"/>
          <w:szCs w:val="24"/>
        </w:rPr>
        <w:t xml:space="preserve">orçamentários </w:t>
      </w:r>
      <w:r w:rsidR="00C82353" w:rsidRPr="002277A3">
        <w:rPr>
          <w:rFonts w:ascii="Times New Roman" w:hAnsi="Times New Roman"/>
          <w:sz w:val="24"/>
          <w:szCs w:val="24"/>
        </w:rPr>
        <w:t>e nem afronta a Lei de Responsabilidade Fiscal</w:t>
      </w:r>
      <w:r w:rsidR="00C82353">
        <w:rPr>
          <w:rFonts w:ascii="Times New Roman" w:hAnsi="Times New Roman"/>
          <w:sz w:val="24"/>
          <w:szCs w:val="24"/>
        </w:rPr>
        <w:t xml:space="preserve"> (Lei Complementar n.º 101, de 04 de maio de 2000)</w:t>
      </w:r>
      <w:r w:rsidR="00C82353" w:rsidRPr="002277A3">
        <w:rPr>
          <w:rFonts w:ascii="Times New Roman" w:hAnsi="Times New Roman"/>
          <w:sz w:val="24"/>
          <w:szCs w:val="24"/>
        </w:rPr>
        <w:t>.</w:t>
      </w:r>
      <w:r w:rsidR="00C82353" w:rsidRPr="002277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Decisão das Comissões: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opinam as Comissões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favoravelmente à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 xml:space="preserve">aprovação do Projeto de Lei n.º 31, de 15 de abril de 2025. Nada mais havendo a ser tratado, foi encerrada a 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 xml:space="preserve">presente </w:t>
      </w:r>
      <w:r w:rsidR="00C82353" w:rsidRPr="002277A3">
        <w:rPr>
          <w:rFonts w:ascii="Times New Roman" w:hAnsi="Times New Roman"/>
          <w:color w:val="000000" w:themeColor="text1"/>
          <w:sz w:val="24"/>
          <w:szCs w:val="24"/>
        </w:rPr>
        <w:t>reunião</w:t>
      </w:r>
      <w:r w:rsidR="00C82353">
        <w:rPr>
          <w:rFonts w:ascii="Times New Roman" w:hAnsi="Times New Roman"/>
          <w:color w:val="000000" w:themeColor="text1"/>
          <w:sz w:val="24"/>
          <w:szCs w:val="24"/>
        </w:rPr>
        <w:t>, que vai assinada pelos membros. Sala de Reunião das Comissões, em 08 de maio de 2025.</w:t>
      </w:r>
    </w:p>
    <w:p w14:paraId="51415DCD" w14:textId="77777777" w:rsidR="00C82353" w:rsidRDefault="00C82353" w:rsidP="00C823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B0C7F3" w14:textId="77777777" w:rsidR="00C82353" w:rsidRPr="004528B1" w:rsidRDefault="00C82353" w:rsidP="00C82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FC98D" w14:textId="77777777" w:rsidR="00C82353" w:rsidRPr="006602D2" w:rsidRDefault="00C82353" w:rsidP="006602D2">
      <w:pPr>
        <w:spacing w:after="0" w:line="240" w:lineRule="auto"/>
        <w:jc w:val="both"/>
        <w:rPr>
          <w:rFonts w:ascii="Times New Roman" w:hAnsi="Times New Roman"/>
        </w:rPr>
      </w:pPr>
    </w:p>
    <w:p w14:paraId="269F9D97" w14:textId="77777777" w:rsidR="004A609E" w:rsidRPr="006602D2" w:rsidRDefault="004A609E" w:rsidP="006602D2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1FD4F4F" w14:textId="7DBCACFB" w:rsidR="00D46CB4" w:rsidRPr="006602D2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6602D2" w:rsidRDefault="00D013FA" w:rsidP="006602D2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 xml:space="preserve">             Luiz Carlos de Souza Vieira Lopes                                 Laura </w:t>
      </w:r>
      <w:proofErr w:type="spellStart"/>
      <w:r w:rsidRPr="006602D2">
        <w:rPr>
          <w:rFonts w:ascii="Times New Roman" w:hAnsi="Times New Roman" w:cs="Times New Roman"/>
          <w:shd w:val="clear" w:color="auto" w:fill="FFFFFF"/>
        </w:rPr>
        <w:t>Southier</w:t>
      </w:r>
      <w:proofErr w:type="spellEnd"/>
    </w:p>
    <w:p w14:paraId="265A427D" w14:textId="77777777" w:rsidR="004A609E" w:rsidRPr="006602D2" w:rsidRDefault="004A609E" w:rsidP="006602D2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14:paraId="1A9B82EB" w14:textId="77777777" w:rsidR="00D46CB4" w:rsidRPr="006602D2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4E18D451" w14:textId="49350F2F" w:rsidR="005F5037" w:rsidRPr="006602D2" w:rsidRDefault="00D013FA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Antônio da Rosa Trindade</w:t>
      </w:r>
    </w:p>
    <w:p w14:paraId="29960071" w14:textId="541646CF" w:rsidR="00D46CB4" w:rsidRPr="006602D2" w:rsidRDefault="00C149AE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 xml:space="preserve">                                             </w:t>
      </w:r>
      <w:r w:rsidR="00F02E7C" w:rsidRPr="006602D2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</w:p>
    <w:p w14:paraId="7A9BC0CB" w14:textId="77777777" w:rsidR="00D46CB4" w:rsidRPr="006602D2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6602D2" w:rsidRDefault="00D013FA" w:rsidP="006602D2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 xml:space="preserve">                     Marcos </w:t>
      </w:r>
      <w:proofErr w:type="spellStart"/>
      <w:r w:rsidRPr="006602D2">
        <w:rPr>
          <w:rFonts w:ascii="Times New Roman" w:hAnsi="Times New Roman" w:cs="Times New Roman"/>
          <w:shd w:val="clear" w:color="auto" w:fill="FFFFFF"/>
        </w:rPr>
        <w:t>Antonio</w:t>
      </w:r>
      <w:proofErr w:type="spellEnd"/>
      <w:r w:rsidRPr="006602D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602D2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6602D2">
        <w:rPr>
          <w:rFonts w:ascii="Times New Roman" w:hAnsi="Times New Roman" w:cs="Times New Roman"/>
          <w:shd w:val="clear" w:color="auto" w:fill="FFFFFF"/>
        </w:rPr>
        <w:t xml:space="preserve">                                            Luana </w:t>
      </w:r>
      <w:proofErr w:type="spellStart"/>
      <w:r w:rsidRPr="006602D2">
        <w:rPr>
          <w:rFonts w:ascii="Times New Roman" w:hAnsi="Times New Roman" w:cs="Times New Roman"/>
          <w:shd w:val="clear" w:color="auto" w:fill="FFFFFF"/>
        </w:rPr>
        <w:t>Stiz</w:t>
      </w:r>
      <w:proofErr w:type="spellEnd"/>
    </w:p>
    <w:p w14:paraId="4FEA31E5" w14:textId="77777777" w:rsidR="005F5037" w:rsidRPr="006602D2" w:rsidRDefault="005F5037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68904EB" w14:textId="77777777" w:rsidR="00204B9C" w:rsidRPr="006602D2" w:rsidRDefault="00D46CB4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1EDE163B" w14:textId="49E72C98" w:rsidR="00D013FA" w:rsidRPr="006602D2" w:rsidRDefault="00D013FA" w:rsidP="006602D2">
      <w:pPr>
        <w:spacing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602D2">
        <w:rPr>
          <w:rFonts w:ascii="Times New Roman" w:hAnsi="Times New Roman" w:cs="Times New Roman"/>
          <w:shd w:val="clear" w:color="auto" w:fill="FFFFFF"/>
        </w:rPr>
        <w:t>Jonas Maria de Oliveira</w:t>
      </w:r>
    </w:p>
    <w:sectPr w:rsidR="00D013FA" w:rsidRPr="006602D2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F4A2" w14:textId="77777777" w:rsidR="002C6A66" w:rsidRDefault="002C6A66" w:rsidP="000D6C47">
      <w:pPr>
        <w:spacing w:after="0" w:line="240" w:lineRule="auto"/>
      </w:pPr>
      <w:r>
        <w:separator/>
      </w:r>
    </w:p>
  </w:endnote>
  <w:endnote w:type="continuationSeparator" w:id="0">
    <w:p w14:paraId="13DFAA2B" w14:textId="77777777" w:rsidR="002C6A66" w:rsidRDefault="002C6A66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C7B6" w14:textId="77777777" w:rsidR="002C6A66" w:rsidRDefault="002C6A66" w:rsidP="000D6C47">
      <w:pPr>
        <w:spacing w:after="0" w:line="240" w:lineRule="auto"/>
      </w:pPr>
      <w:r>
        <w:separator/>
      </w:r>
    </w:p>
  </w:footnote>
  <w:footnote w:type="continuationSeparator" w:id="0">
    <w:p w14:paraId="0095372B" w14:textId="77777777" w:rsidR="002C6A66" w:rsidRDefault="002C6A66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51FFE"/>
    <w:rsid w:val="000855DB"/>
    <w:rsid w:val="000B20FC"/>
    <w:rsid w:val="000D6C47"/>
    <w:rsid w:val="00123EAA"/>
    <w:rsid w:val="001379E9"/>
    <w:rsid w:val="001472A7"/>
    <w:rsid w:val="001672B7"/>
    <w:rsid w:val="00194ACF"/>
    <w:rsid w:val="001B520C"/>
    <w:rsid w:val="001E0D3C"/>
    <w:rsid w:val="00204B9C"/>
    <w:rsid w:val="0022110D"/>
    <w:rsid w:val="00254099"/>
    <w:rsid w:val="00257A2E"/>
    <w:rsid w:val="00287334"/>
    <w:rsid w:val="002C6A66"/>
    <w:rsid w:val="002D3936"/>
    <w:rsid w:val="002F2C30"/>
    <w:rsid w:val="00305B7B"/>
    <w:rsid w:val="00346D1E"/>
    <w:rsid w:val="003514D9"/>
    <w:rsid w:val="00351C3F"/>
    <w:rsid w:val="003E76AC"/>
    <w:rsid w:val="00454DD9"/>
    <w:rsid w:val="00470131"/>
    <w:rsid w:val="00487D8F"/>
    <w:rsid w:val="004A2A44"/>
    <w:rsid w:val="004A609E"/>
    <w:rsid w:val="004A6FD7"/>
    <w:rsid w:val="004B3CD0"/>
    <w:rsid w:val="004C3BC5"/>
    <w:rsid w:val="00511A7F"/>
    <w:rsid w:val="00512EC7"/>
    <w:rsid w:val="00525189"/>
    <w:rsid w:val="00534A56"/>
    <w:rsid w:val="0054222B"/>
    <w:rsid w:val="00554E5C"/>
    <w:rsid w:val="005D4949"/>
    <w:rsid w:val="005F5037"/>
    <w:rsid w:val="0060271D"/>
    <w:rsid w:val="00644E78"/>
    <w:rsid w:val="00645D09"/>
    <w:rsid w:val="00653D89"/>
    <w:rsid w:val="006602D2"/>
    <w:rsid w:val="00690225"/>
    <w:rsid w:val="006A61D5"/>
    <w:rsid w:val="006B0539"/>
    <w:rsid w:val="006C3ADD"/>
    <w:rsid w:val="006C6F4B"/>
    <w:rsid w:val="00701B4A"/>
    <w:rsid w:val="0073679D"/>
    <w:rsid w:val="00762851"/>
    <w:rsid w:val="00793D4A"/>
    <w:rsid w:val="007F1EE6"/>
    <w:rsid w:val="007F3B07"/>
    <w:rsid w:val="008001B5"/>
    <w:rsid w:val="0081256D"/>
    <w:rsid w:val="0081683C"/>
    <w:rsid w:val="00847764"/>
    <w:rsid w:val="00855321"/>
    <w:rsid w:val="00863BB7"/>
    <w:rsid w:val="008C5DD1"/>
    <w:rsid w:val="008F2DD2"/>
    <w:rsid w:val="00904564"/>
    <w:rsid w:val="00920111"/>
    <w:rsid w:val="009210FC"/>
    <w:rsid w:val="00924E5E"/>
    <w:rsid w:val="00981618"/>
    <w:rsid w:val="00981724"/>
    <w:rsid w:val="009F5851"/>
    <w:rsid w:val="00A2186A"/>
    <w:rsid w:val="00A45869"/>
    <w:rsid w:val="00A71E00"/>
    <w:rsid w:val="00A73443"/>
    <w:rsid w:val="00A84FE0"/>
    <w:rsid w:val="00A901AF"/>
    <w:rsid w:val="00A958C9"/>
    <w:rsid w:val="00A96C57"/>
    <w:rsid w:val="00B25A4C"/>
    <w:rsid w:val="00B307D6"/>
    <w:rsid w:val="00B73BD6"/>
    <w:rsid w:val="00B81425"/>
    <w:rsid w:val="00B9415C"/>
    <w:rsid w:val="00BA0DC8"/>
    <w:rsid w:val="00BD58EE"/>
    <w:rsid w:val="00BF0B05"/>
    <w:rsid w:val="00C149AE"/>
    <w:rsid w:val="00C406FB"/>
    <w:rsid w:val="00C562E1"/>
    <w:rsid w:val="00C82353"/>
    <w:rsid w:val="00CE3192"/>
    <w:rsid w:val="00D013FA"/>
    <w:rsid w:val="00D07C60"/>
    <w:rsid w:val="00D35903"/>
    <w:rsid w:val="00D437C9"/>
    <w:rsid w:val="00D46CB4"/>
    <w:rsid w:val="00D91722"/>
    <w:rsid w:val="00DB439F"/>
    <w:rsid w:val="00E0063C"/>
    <w:rsid w:val="00E237B5"/>
    <w:rsid w:val="00E30A63"/>
    <w:rsid w:val="00E56CD9"/>
    <w:rsid w:val="00E74F73"/>
    <w:rsid w:val="00E814E0"/>
    <w:rsid w:val="00F02E7C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60</cp:revision>
  <cp:lastPrinted>2025-05-06T13:00:00Z</cp:lastPrinted>
  <dcterms:created xsi:type="dcterms:W3CDTF">2024-03-19T18:03:00Z</dcterms:created>
  <dcterms:modified xsi:type="dcterms:W3CDTF">2025-05-15T11:19:00Z</dcterms:modified>
</cp:coreProperties>
</file>