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53B29" w14:textId="38C6C063" w:rsidR="00AA2F4C" w:rsidRDefault="004C1E70" w:rsidP="00AA2F4C">
      <w:pPr>
        <w:jc w:val="both"/>
        <w:rPr>
          <w:rFonts w:ascii="Times New Roman" w:hAnsi="Times New Roman" w:cs="Times New Roman"/>
          <w:color w:val="000000" w:themeColor="text1"/>
          <w:sz w:val="24"/>
          <w:szCs w:val="24"/>
        </w:rPr>
      </w:pPr>
      <w:r w:rsidRPr="00314B63">
        <w:rPr>
          <w:rFonts w:ascii="Times New Roman" w:hAnsi="Times New Roman" w:cs="Times New Roman"/>
          <w:b/>
          <w:color w:val="000000" w:themeColor="text1"/>
        </w:rPr>
        <w:t>A</w:t>
      </w:r>
      <w:r w:rsidR="00AB7FA0" w:rsidRPr="00314B63">
        <w:rPr>
          <w:rFonts w:ascii="Times New Roman" w:hAnsi="Times New Roman" w:cs="Times New Roman"/>
          <w:b/>
          <w:color w:val="000000" w:themeColor="text1"/>
        </w:rPr>
        <w:t xml:space="preserve">ta da </w:t>
      </w:r>
      <w:r w:rsidR="00086448" w:rsidRPr="00314B63">
        <w:rPr>
          <w:rFonts w:ascii="Times New Roman" w:hAnsi="Times New Roman" w:cs="Times New Roman"/>
          <w:b/>
          <w:color w:val="000000" w:themeColor="text1"/>
        </w:rPr>
        <w:t xml:space="preserve">vigésima </w:t>
      </w:r>
      <w:r w:rsidR="00F81B41">
        <w:rPr>
          <w:rFonts w:ascii="Times New Roman" w:hAnsi="Times New Roman" w:cs="Times New Roman"/>
          <w:b/>
          <w:color w:val="000000" w:themeColor="text1"/>
        </w:rPr>
        <w:t>quinta</w:t>
      </w:r>
      <w:r w:rsidR="00AB7FA0" w:rsidRPr="00314B63">
        <w:rPr>
          <w:rFonts w:ascii="Times New Roman" w:hAnsi="Times New Roman" w:cs="Times New Roman"/>
          <w:color w:val="000000" w:themeColor="text1"/>
        </w:rPr>
        <w:t xml:space="preserve"> </w:t>
      </w:r>
      <w:r w:rsidR="00AB7FA0" w:rsidRPr="00314B63">
        <w:rPr>
          <w:rFonts w:ascii="Times New Roman" w:hAnsi="Times New Roman" w:cs="Times New Roman"/>
          <w:b/>
          <w:color w:val="000000" w:themeColor="text1"/>
        </w:rPr>
        <w:t xml:space="preserve">Reunião Conjunta da Comissão de Justiça, Redação e Pareceres e da Comissão de Finanças e Orçamento da Câmara Municipal de Vereadores de Renascença. Aos </w:t>
      </w:r>
      <w:r w:rsidR="00F81B41">
        <w:rPr>
          <w:rFonts w:ascii="Times New Roman" w:hAnsi="Times New Roman" w:cs="Times New Roman"/>
          <w:b/>
          <w:color w:val="000000" w:themeColor="text1"/>
        </w:rPr>
        <w:t>vinte e seis dias</w:t>
      </w:r>
      <w:r w:rsidR="00B52978" w:rsidRPr="00314B63">
        <w:rPr>
          <w:rFonts w:ascii="Times New Roman" w:hAnsi="Times New Roman" w:cs="Times New Roman"/>
          <w:b/>
          <w:color w:val="000000" w:themeColor="text1"/>
        </w:rPr>
        <w:t xml:space="preserve"> do mês de novembro</w:t>
      </w:r>
      <w:r w:rsidR="00AB7FA0" w:rsidRPr="00314B63">
        <w:rPr>
          <w:rFonts w:ascii="Times New Roman" w:hAnsi="Times New Roman" w:cs="Times New Roman"/>
          <w:b/>
          <w:color w:val="000000" w:themeColor="text1"/>
        </w:rPr>
        <w:t xml:space="preserve"> de 2024, junto ao Plenário da Câmara Municipal, reuniram-se os vereadores para Reunião Conjunta das Comissões Permanentes de Justiça, Redação e Pareceres e de Finanças e Orçamento. </w:t>
      </w:r>
      <w:r w:rsidR="00AB7FA0" w:rsidRPr="00314B63">
        <w:rPr>
          <w:rFonts w:ascii="Times New Roman" w:hAnsi="Times New Roman" w:cs="Times New Roman"/>
          <w:b/>
          <w:color w:val="000000" w:themeColor="text1"/>
          <w:shd w:val="clear" w:color="auto" w:fill="FFFFFF"/>
        </w:rPr>
        <w:t xml:space="preserve">Pela Comissão de Justiça, Redação e Pareceres estiveram presentes os senhores Vanderson Rodrigo Zanini, Presidente, Gilmar Schmidt, Vice-Presidente, e </w:t>
      </w:r>
      <w:proofErr w:type="spellStart"/>
      <w:r w:rsidR="00AB7FA0" w:rsidRPr="00314B63">
        <w:rPr>
          <w:rFonts w:ascii="Times New Roman" w:hAnsi="Times New Roman" w:cs="Times New Roman"/>
          <w:b/>
          <w:color w:val="000000" w:themeColor="text1"/>
          <w:shd w:val="clear" w:color="auto" w:fill="FFFFFF"/>
        </w:rPr>
        <w:t>Fabieli</w:t>
      </w:r>
      <w:proofErr w:type="spellEnd"/>
      <w:r w:rsidR="00AB7FA0" w:rsidRPr="00314B63">
        <w:rPr>
          <w:rFonts w:ascii="Times New Roman" w:hAnsi="Times New Roman" w:cs="Times New Roman"/>
          <w:b/>
          <w:color w:val="000000" w:themeColor="text1"/>
          <w:shd w:val="clear" w:color="auto" w:fill="FFFFFF"/>
        </w:rPr>
        <w:t xml:space="preserve"> Manfredi, 1ª Secretária. Pela Comissão de Finanças e Orçamento estiveram presentes os Senhores </w:t>
      </w:r>
      <w:r w:rsidR="00AB7FA0" w:rsidRPr="00314B63">
        <w:rPr>
          <w:rFonts w:ascii="Times New Roman" w:hAnsi="Times New Roman" w:cs="Times New Roman"/>
          <w:b/>
          <w:color w:val="000000" w:themeColor="text1"/>
        </w:rPr>
        <w:t xml:space="preserve">Marcos Antônio </w:t>
      </w:r>
      <w:proofErr w:type="spellStart"/>
      <w:r w:rsidR="00AB7FA0" w:rsidRPr="00314B63">
        <w:rPr>
          <w:rFonts w:ascii="Times New Roman" w:hAnsi="Times New Roman" w:cs="Times New Roman"/>
          <w:b/>
          <w:color w:val="000000" w:themeColor="text1"/>
        </w:rPr>
        <w:t>Valandro</w:t>
      </w:r>
      <w:proofErr w:type="spellEnd"/>
      <w:r w:rsidR="00AB7FA0" w:rsidRPr="00314B63">
        <w:rPr>
          <w:rFonts w:ascii="Times New Roman" w:hAnsi="Times New Roman" w:cs="Times New Roman"/>
          <w:b/>
          <w:color w:val="000000" w:themeColor="text1"/>
        </w:rPr>
        <w:t xml:space="preserve">, Presidente, Jonas Maria de Oliveira, Vice-Presidente e Everson Antônio Tedesco, 1º Secretário. </w:t>
      </w:r>
      <w:r w:rsidR="00AB7FA0" w:rsidRPr="00314B63">
        <w:rPr>
          <w:rFonts w:ascii="Times New Roman" w:hAnsi="Times New Roman" w:cs="Times New Roman"/>
          <w:b/>
          <w:color w:val="000000" w:themeColor="text1"/>
          <w:shd w:val="clear" w:color="auto" w:fill="FFFFFF"/>
        </w:rPr>
        <w:t xml:space="preserve">Havendo número regimental, foi declarada aberta a reunião, a qual foi convocada com a finalidade de apreciar as seguintes </w:t>
      </w:r>
      <w:r w:rsidR="00AB7FA0" w:rsidRPr="00314B63">
        <w:rPr>
          <w:rFonts w:ascii="Times New Roman" w:hAnsi="Times New Roman" w:cs="Times New Roman"/>
          <w:b/>
          <w:color w:val="000000" w:themeColor="text1"/>
        </w:rPr>
        <w:t xml:space="preserve">proposições: </w:t>
      </w:r>
      <w:r w:rsidR="00AA2F4C">
        <w:rPr>
          <w:rFonts w:ascii="Times New Roman" w:hAnsi="Times New Roman" w:cs="Times New Roman"/>
          <w:b/>
          <w:color w:val="000000" w:themeColor="text1"/>
          <w:sz w:val="24"/>
          <w:szCs w:val="24"/>
        </w:rPr>
        <w:t xml:space="preserve">(a) Projeto de Lei n.º 036/2024, de 10 de outubro de 2024, que autoriza o Executivo Municipal a incluir e alterar ações orçamentárias da despesa, compreendendo as fontes de recursos, textos, valores e rubricas da despesa e fontes de recursos, valores e alíneas da receita orçamentária no Plano Plurianual – PPA para o quadriênio de 2022 a 2025 (especificamente para: 2025), o qual foi aprovado através da Lei Municipal </w:t>
      </w:r>
      <w:proofErr w:type="spellStart"/>
      <w:r w:rsidR="00AA2F4C">
        <w:rPr>
          <w:rFonts w:ascii="Times New Roman" w:hAnsi="Times New Roman" w:cs="Times New Roman"/>
          <w:b/>
          <w:color w:val="000000" w:themeColor="text1"/>
          <w:sz w:val="24"/>
          <w:szCs w:val="24"/>
        </w:rPr>
        <w:t>n.°</w:t>
      </w:r>
      <w:proofErr w:type="spellEnd"/>
      <w:r w:rsidR="00AA2F4C">
        <w:rPr>
          <w:rFonts w:ascii="Times New Roman" w:hAnsi="Times New Roman" w:cs="Times New Roman"/>
          <w:b/>
          <w:color w:val="000000" w:themeColor="text1"/>
          <w:sz w:val="24"/>
          <w:szCs w:val="24"/>
        </w:rPr>
        <w:t xml:space="preserve"> 1748, de 29 de julho de 2021, e na Lei de Diretrizes Orçamentárias – LDO para o exercício financeiro de 2025, a qual foi aprovada através da Lei Municipal n.º 1918/2024, de 09 de outubro de 2024, e dá outras providências; e (b) Projeto de Lei n.º 037/2024, de 11 de outubro de 2024, que estima e fixa a despesa do Município de Renascença, Estado do Paraná, para o exercício de 2025, com as emendas parlamentares impositivas individuais e de bancadas. Após análise, não havendo óbices de natureza constitucional, jurídica, regimental, técnica legislativa ou mesmo de ordem financeira e orçamentária, opinam as Comissões Permanentes favoráveis à admissibilidade e tramitação das proposições ora analisadas.</w:t>
      </w:r>
      <w:r w:rsidR="00AA2F4C">
        <w:rPr>
          <w:rFonts w:ascii="Times New Roman" w:hAnsi="Times New Roman" w:cs="Times New Roman"/>
          <w:color w:val="000000" w:themeColor="text1"/>
          <w:sz w:val="24"/>
          <w:szCs w:val="24"/>
        </w:rPr>
        <w:t xml:space="preserve"> </w:t>
      </w:r>
      <w:r w:rsidR="00AA2F4C">
        <w:rPr>
          <w:rFonts w:ascii="Times New Roman" w:hAnsi="Times New Roman" w:cs="Times New Roman"/>
          <w:b/>
          <w:color w:val="000000" w:themeColor="text1"/>
          <w:sz w:val="24"/>
          <w:szCs w:val="24"/>
        </w:rPr>
        <w:t>Colocado em discussão e votação</w:t>
      </w:r>
      <w:r w:rsidR="00AA2F4C">
        <w:rPr>
          <w:rFonts w:ascii="Times New Roman" w:hAnsi="Times New Roman" w:cs="Times New Roman"/>
          <w:b/>
          <w:color w:val="000000" w:themeColor="text1"/>
          <w:sz w:val="24"/>
          <w:szCs w:val="24"/>
          <w:shd w:val="clear" w:color="auto" w:fill="FFFFFF"/>
        </w:rPr>
        <w:t>, foi aprovado o parecer por unanimidade</w:t>
      </w:r>
      <w:r w:rsidR="00AA2F4C" w:rsidRPr="004C1E70">
        <w:rPr>
          <w:rFonts w:ascii="Times New Roman" w:hAnsi="Times New Roman" w:cs="Times New Roman"/>
          <w:b/>
          <w:color w:val="000000" w:themeColor="text1"/>
          <w:sz w:val="24"/>
          <w:szCs w:val="24"/>
          <w:shd w:val="clear" w:color="auto" w:fill="FFFFFF"/>
        </w:rPr>
        <w:t>:</w:t>
      </w:r>
      <w:r w:rsidR="00AA2F4C">
        <w:rPr>
          <w:rFonts w:ascii="Times New Roman" w:hAnsi="Times New Roman" w:cs="Times New Roman"/>
          <w:b/>
          <w:color w:val="000000" w:themeColor="text1"/>
          <w:sz w:val="24"/>
          <w:szCs w:val="24"/>
          <w:shd w:val="clear" w:color="auto" w:fill="FFFFFF"/>
        </w:rPr>
        <w:t xml:space="preserve"> </w:t>
      </w:r>
      <w:r w:rsidR="00AA2F4C" w:rsidRPr="00771A20">
        <w:rPr>
          <w:rFonts w:ascii="Times New Roman" w:hAnsi="Times New Roman" w:cs="Times New Roman"/>
          <w:b/>
          <w:color w:val="000000" w:themeColor="text1"/>
          <w:sz w:val="24"/>
          <w:szCs w:val="24"/>
          <w:u w:val="single"/>
        </w:rPr>
        <w:t>Projeto de Lei n.º 036/2024, de 10 de outubro de 2024</w:t>
      </w:r>
      <w:r w:rsidR="00AA2F4C">
        <w:rPr>
          <w:rFonts w:ascii="Times New Roman" w:hAnsi="Times New Roman" w:cs="Times New Roman"/>
          <w:b/>
          <w:color w:val="000000" w:themeColor="text1"/>
          <w:sz w:val="24"/>
          <w:szCs w:val="24"/>
        </w:rPr>
        <w:t xml:space="preserve">. Relatório: </w:t>
      </w:r>
      <w:r w:rsidR="00AA2F4C">
        <w:rPr>
          <w:rFonts w:ascii="Times New Roman" w:hAnsi="Times New Roman" w:cs="Times New Roman"/>
          <w:color w:val="000000" w:themeColor="text1"/>
          <w:sz w:val="24"/>
          <w:szCs w:val="24"/>
        </w:rPr>
        <w:t>De autoria do Chefe do Poder E</w:t>
      </w:r>
      <w:r w:rsidR="00AA2F4C" w:rsidRPr="00C64FA7">
        <w:rPr>
          <w:rFonts w:ascii="Times New Roman" w:hAnsi="Times New Roman" w:cs="Times New Roman"/>
          <w:color w:val="000000" w:themeColor="text1"/>
          <w:sz w:val="24"/>
          <w:szCs w:val="24"/>
        </w:rPr>
        <w:t>xecutivo Municipal, o Projeto n.٥ 036/2024, de 10 de outubro de 2024 solicita autorização do Poder Legislativo para incluir e alterar ações orçamentárias da desp</w:t>
      </w:r>
      <w:r w:rsidR="00AA2F4C">
        <w:rPr>
          <w:rFonts w:ascii="Times New Roman" w:hAnsi="Times New Roman" w:cs="Times New Roman"/>
          <w:color w:val="000000" w:themeColor="text1"/>
          <w:sz w:val="24"/>
          <w:szCs w:val="24"/>
        </w:rPr>
        <w:t>esa, compreendendo as fontes de</w:t>
      </w:r>
      <w:r w:rsidR="00AA2F4C" w:rsidRPr="00C64FA7">
        <w:rPr>
          <w:rFonts w:ascii="Times New Roman" w:hAnsi="Times New Roman" w:cs="Times New Roman"/>
          <w:color w:val="000000" w:themeColor="text1"/>
          <w:sz w:val="24"/>
          <w:szCs w:val="24"/>
        </w:rPr>
        <w:t xml:space="preserve"> recursos, textos, valores e rubricas da despesa e fontes de recursos, valores e alínea</w:t>
      </w:r>
      <w:r w:rsidR="00AA2F4C">
        <w:rPr>
          <w:rFonts w:ascii="Times New Roman" w:hAnsi="Times New Roman" w:cs="Times New Roman"/>
          <w:color w:val="000000" w:themeColor="text1"/>
          <w:sz w:val="24"/>
          <w:szCs w:val="24"/>
        </w:rPr>
        <w:t>s</w:t>
      </w:r>
      <w:r w:rsidR="00AA2F4C" w:rsidRPr="00C64FA7">
        <w:rPr>
          <w:rFonts w:ascii="Times New Roman" w:hAnsi="Times New Roman" w:cs="Times New Roman"/>
          <w:color w:val="000000" w:themeColor="text1"/>
          <w:sz w:val="24"/>
          <w:szCs w:val="24"/>
        </w:rPr>
        <w:t xml:space="preserve"> da receita orçamentária no Plano Plurianual – PPA para o quadriênio de 2022 a 2025 (especificamente para: 2025), o qual foi aprovado através da Lei Municipal n. 1748, de 29 de julho de 2021, e na Lei de Diretrizes Orçamentárias – LDO para o exercício </w:t>
      </w:r>
      <w:r w:rsidR="00AA2F4C">
        <w:rPr>
          <w:rFonts w:ascii="Times New Roman" w:hAnsi="Times New Roman" w:cs="Times New Roman"/>
          <w:color w:val="000000" w:themeColor="text1"/>
          <w:sz w:val="24"/>
          <w:szCs w:val="24"/>
        </w:rPr>
        <w:t xml:space="preserve">financeiro de 2025. Através da Mensagem n.º 036/2024, esclarece o Chefe do Poder Executivo que o projeto tem a finalidade de ajustar o PPA e a LDO às alterações orçamentárias ocorridas no momento da elaboração da Lei Orçamentária Anual – LOA para o exercício de 2025. Ainda, argumenta que pelo fato do PPA de 2022 a 2025 haver sido elaborado anteriormente, na metade de 2021, verificou-se que houve mudanças de lá pra cá na tendência das despesas, receitas e alterações nas fontes de recursos por iniciativa da STN – Secretaria do tesouro Nacional e do TCE/PR, e para evitar que 2025 hajam muitos projetos de leis para adequação das mesmas junto ao Legislativo Municipal, foi proposto a iniciativa de alterá-las neste instante. Por fim, destaca que as alterações já fazem parte da LOA de 2025, que encontra-se em tramitação por esta Casa Legislativa. É o relatório. </w:t>
      </w:r>
      <w:r w:rsidR="00AA2F4C" w:rsidRPr="00235621">
        <w:rPr>
          <w:rFonts w:ascii="Times New Roman" w:hAnsi="Times New Roman" w:cs="Times New Roman"/>
          <w:b/>
          <w:sz w:val="24"/>
          <w:szCs w:val="24"/>
        </w:rPr>
        <w:t xml:space="preserve">Análise da matéria: </w:t>
      </w:r>
      <w:r w:rsidR="00AA2F4C" w:rsidRPr="001B3B6C">
        <w:rPr>
          <w:rFonts w:ascii="Times New Roman" w:hAnsi="Times New Roman" w:cs="Times New Roman"/>
          <w:sz w:val="24"/>
          <w:szCs w:val="24"/>
        </w:rPr>
        <w:lastRenderedPageBreak/>
        <w:t>Inicialmente,</w:t>
      </w:r>
      <w:r w:rsidR="00AA2F4C">
        <w:rPr>
          <w:rFonts w:ascii="Times New Roman" w:hAnsi="Times New Roman" w:cs="Times New Roman"/>
          <w:b/>
          <w:sz w:val="24"/>
          <w:szCs w:val="24"/>
        </w:rPr>
        <w:t xml:space="preserve"> </w:t>
      </w:r>
      <w:r w:rsidR="00AA2F4C" w:rsidRPr="00235621">
        <w:rPr>
          <w:rFonts w:ascii="Times New Roman" w:hAnsi="Times New Roman" w:cs="Times New Roman"/>
          <w:sz w:val="24"/>
          <w:szCs w:val="24"/>
        </w:rPr>
        <w:t xml:space="preserve">cabe destacar que o Projeto de Lei é de autoria do Chefe do Poder Executivo, ao qual compete a iniciativa </w:t>
      </w:r>
      <w:r w:rsidR="00AA2F4C">
        <w:rPr>
          <w:rFonts w:ascii="Times New Roman" w:hAnsi="Times New Roman" w:cs="Times New Roman"/>
          <w:sz w:val="24"/>
          <w:szCs w:val="24"/>
        </w:rPr>
        <w:t xml:space="preserve">privativa da </w:t>
      </w:r>
      <w:r w:rsidR="00AA2F4C" w:rsidRPr="00565B67">
        <w:rPr>
          <w:rFonts w:ascii="Times New Roman" w:hAnsi="Times New Roman" w:cs="Times New Roman"/>
          <w:sz w:val="24"/>
          <w:szCs w:val="24"/>
        </w:rPr>
        <w:t>matéria, nos termos do artigo 165, inciso III da Constituição Federal e do artigo 139, inciso III da Lei Orgânica</w:t>
      </w:r>
      <w:r w:rsidR="00AA2F4C">
        <w:rPr>
          <w:rFonts w:ascii="Times New Roman" w:hAnsi="Times New Roman" w:cs="Times New Roman"/>
          <w:sz w:val="24"/>
          <w:szCs w:val="24"/>
        </w:rPr>
        <w:t xml:space="preserve"> municipal</w:t>
      </w:r>
      <w:r w:rsidR="00AA2F4C" w:rsidRPr="00565B67">
        <w:rPr>
          <w:rFonts w:ascii="Times New Roman" w:hAnsi="Times New Roman" w:cs="Times New Roman"/>
          <w:sz w:val="24"/>
          <w:szCs w:val="24"/>
        </w:rPr>
        <w:t>.</w:t>
      </w:r>
      <w:r w:rsidR="00AA2F4C" w:rsidRPr="00565B67">
        <w:rPr>
          <w:rFonts w:ascii="Times New Roman" w:hAnsi="Times New Roman" w:cs="Times New Roman"/>
          <w:b/>
          <w:sz w:val="24"/>
          <w:szCs w:val="24"/>
        </w:rPr>
        <w:t xml:space="preserve"> </w:t>
      </w:r>
      <w:r w:rsidR="00AA2F4C" w:rsidRPr="00310E93">
        <w:rPr>
          <w:rFonts w:ascii="Times New Roman" w:hAnsi="Times New Roman" w:cs="Times New Roman"/>
          <w:sz w:val="24"/>
          <w:szCs w:val="24"/>
        </w:rPr>
        <w:t>A proposta apresenta-se devidamente motivada e busca adequar o PPA de 2022 a 2025 e a LDO de 2025 as alterações promovidas quando da elaboração da proposta orçamentária para 2025. Como é cediço o Plano Plurianual não é imutável, devendo ser avaliado e revisado considerando a tendência das despesas, novos cenários socioeconômicos e demandas sociais, situações que geralmente ocorrem quando da elaboração dos demais instrumentos de planejamento.</w:t>
      </w:r>
      <w:r w:rsidR="00AA2F4C">
        <w:rPr>
          <w:rFonts w:ascii="Times New Roman" w:hAnsi="Times New Roman" w:cs="Times New Roman"/>
          <w:b/>
          <w:sz w:val="24"/>
          <w:szCs w:val="24"/>
        </w:rPr>
        <w:t xml:space="preserve"> </w:t>
      </w:r>
      <w:r w:rsidR="00AA2F4C" w:rsidRPr="005B3808">
        <w:rPr>
          <w:rFonts w:ascii="Times New Roman" w:hAnsi="Times New Roman" w:cs="Times New Roman"/>
          <w:sz w:val="24"/>
          <w:szCs w:val="24"/>
        </w:rPr>
        <w:t xml:space="preserve">Assim, </w:t>
      </w:r>
      <w:r w:rsidR="00AA2F4C">
        <w:rPr>
          <w:rFonts w:ascii="Times New Roman" w:hAnsi="Times New Roman" w:cs="Times New Roman"/>
          <w:sz w:val="24"/>
          <w:szCs w:val="24"/>
        </w:rPr>
        <w:t>tomando por base as exigências constantes da</w:t>
      </w:r>
      <w:r w:rsidR="00AA2F4C" w:rsidRPr="005B3808">
        <w:rPr>
          <w:rFonts w:ascii="Times New Roman" w:hAnsi="Times New Roman" w:cs="Times New Roman"/>
          <w:sz w:val="24"/>
          <w:szCs w:val="24"/>
        </w:rPr>
        <w:t xml:space="preserve"> </w:t>
      </w:r>
      <w:r w:rsidR="00AA2F4C">
        <w:rPr>
          <w:rFonts w:ascii="Times New Roman" w:hAnsi="Times New Roman" w:cs="Times New Roman"/>
          <w:sz w:val="24"/>
          <w:szCs w:val="24"/>
        </w:rPr>
        <w:t xml:space="preserve">Constituição Federal, da </w:t>
      </w:r>
      <w:r w:rsidR="00AA2F4C" w:rsidRPr="005B3808">
        <w:rPr>
          <w:rFonts w:ascii="Times New Roman" w:hAnsi="Times New Roman" w:cs="Times New Roman"/>
          <w:sz w:val="24"/>
          <w:szCs w:val="24"/>
        </w:rPr>
        <w:t>Lei n.º 4.320, de 1964</w:t>
      </w:r>
      <w:r w:rsidR="00AA2F4C">
        <w:rPr>
          <w:rFonts w:ascii="Times New Roman" w:hAnsi="Times New Roman" w:cs="Times New Roman"/>
          <w:sz w:val="24"/>
          <w:szCs w:val="24"/>
        </w:rPr>
        <w:t xml:space="preserve"> e da Lei de Responsabilidade Fiscal (Lei Complementar n.º 101/2000), </w:t>
      </w:r>
      <w:r w:rsidR="00AA2F4C" w:rsidRPr="005B3808">
        <w:rPr>
          <w:rFonts w:ascii="Times New Roman" w:hAnsi="Times New Roman" w:cs="Times New Roman"/>
          <w:sz w:val="24"/>
          <w:szCs w:val="24"/>
        </w:rPr>
        <w:t xml:space="preserve">no que tange aos seus aspectos constitucionais, legais, orçamentários e </w:t>
      </w:r>
      <w:r w:rsidR="00AA2F4C" w:rsidRPr="00EB375C">
        <w:rPr>
          <w:rFonts w:ascii="Times New Roman" w:hAnsi="Times New Roman" w:cs="Times New Roman"/>
          <w:sz w:val="24"/>
          <w:szCs w:val="24"/>
        </w:rPr>
        <w:t xml:space="preserve">financeiros que norteiam o parecer, não encontramos quaisquer impedimentos à tramitação do Projeto de Lei n.º </w:t>
      </w:r>
      <w:r w:rsidR="00AA2F4C" w:rsidRPr="00EB375C">
        <w:rPr>
          <w:rFonts w:ascii="Times New Roman" w:hAnsi="Times New Roman" w:cs="Times New Roman"/>
          <w:color w:val="000000" w:themeColor="text1"/>
          <w:sz w:val="24"/>
          <w:szCs w:val="24"/>
        </w:rPr>
        <w:t>0</w:t>
      </w:r>
      <w:r w:rsidR="00AA2F4C">
        <w:rPr>
          <w:rFonts w:ascii="Times New Roman" w:hAnsi="Times New Roman" w:cs="Times New Roman"/>
          <w:color w:val="000000" w:themeColor="text1"/>
          <w:sz w:val="24"/>
          <w:szCs w:val="24"/>
        </w:rPr>
        <w:t>36/2024</w:t>
      </w:r>
      <w:r w:rsidR="00AA2F4C" w:rsidRPr="00EB375C">
        <w:rPr>
          <w:rFonts w:ascii="Times New Roman" w:hAnsi="Times New Roman" w:cs="Times New Roman"/>
          <w:color w:val="000000" w:themeColor="text1"/>
          <w:sz w:val="24"/>
          <w:szCs w:val="24"/>
        </w:rPr>
        <w:t xml:space="preserve">, de </w:t>
      </w:r>
      <w:r w:rsidR="00AA2F4C">
        <w:rPr>
          <w:rFonts w:ascii="Times New Roman" w:hAnsi="Times New Roman" w:cs="Times New Roman"/>
          <w:color w:val="000000" w:themeColor="text1"/>
          <w:sz w:val="24"/>
          <w:szCs w:val="24"/>
        </w:rPr>
        <w:t xml:space="preserve">10 de outubro de </w:t>
      </w:r>
      <w:r w:rsidR="00AA2F4C" w:rsidRPr="00EB375C">
        <w:rPr>
          <w:rFonts w:ascii="Times New Roman" w:hAnsi="Times New Roman" w:cs="Times New Roman"/>
          <w:color w:val="000000" w:themeColor="text1"/>
          <w:sz w:val="24"/>
          <w:szCs w:val="24"/>
        </w:rPr>
        <w:t>202</w:t>
      </w:r>
      <w:r w:rsidR="00AA2F4C">
        <w:rPr>
          <w:rFonts w:ascii="Times New Roman" w:hAnsi="Times New Roman" w:cs="Times New Roman"/>
          <w:color w:val="000000" w:themeColor="text1"/>
          <w:sz w:val="24"/>
          <w:szCs w:val="24"/>
        </w:rPr>
        <w:t>4</w:t>
      </w:r>
      <w:r w:rsidR="00AA2F4C" w:rsidRPr="00565B67">
        <w:rPr>
          <w:rFonts w:ascii="Times New Roman" w:hAnsi="Times New Roman" w:cs="Times New Roman"/>
          <w:sz w:val="24"/>
          <w:szCs w:val="24"/>
        </w:rPr>
        <w:t>.</w:t>
      </w:r>
      <w:r w:rsidR="00AA2F4C">
        <w:rPr>
          <w:rFonts w:ascii="Times New Roman" w:hAnsi="Times New Roman" w:cs="Times New Roman"/>
          <w:sz w:val="24"/>
          <w:szCs w:val="24"/>
        </w:rPr>
        <w:t xml:space="preserve"> </w:t>
      </w:r>
      <w:r w:rsidR="00AA2F4C" w:rsidRPr="005B3808">
        <w:rPr>
          <w:rFonts w:ascii="Times New Roman" w:hAnsi="Times New Roman" w:cs="Times New Roman"/>
          <w:b/>
          <w:sz w:val="24"/>
          <w:szCs w:val="24"/>
        </w:rPr>
        <w:t>Decisão das Comissões:</w:t>
      </w:r>
      <w:r w:rsidR="00AA2F4C" w:rsidRPr="005B3808">
        <w:rPr>
          <w:rFonts w:ascii="Times New Roman" w:hAnsi="Times New Roman" w:cs="Times New Roman"/>
          <w:sz w:val="24"/>
          <w:szCs w:val="24"/>
        </w:rPr>
        <w:t xml:space="preserve"> Diante do exposto, opinam as</w:t>
      </w:r>
      <w:r w:rsidR="00AA2F4C">
        <w:rPr>
          <w:rFonts w:ascii="Times New Roman" w:hAnsi="Times New Roman" w:cs="Times New Roman"/>
          <w:sz w:val="24"/>
          <w:szCs w:val="24"/>
        </w:rPr>
        <w:t xml:space="preserve"> Comissões Permanentes </w:t>
      </w:r>
      <w:r w:rsidR="00AA2F4C" w:rsidRPr="00E970DA">
        <w:rPr>
          <w:rFonts w:ascii="Times New Roman" w:hAnsi="Times New Roman" w:cs="Times New Roman"/>
          <w:color w:val="000000" w:themeColor="text1"/>
          <w:sz w:val="24"/>
          <w:szCs w:val="24"/>
        </w:rPr>
        <w:t>de Justiça, Redação e Pareceres e de Finanças e Orçamento</w:t>
      </w:r>
      <w:r w:rsidR="00AA2F4C">
        <w:rPr>
          <w:rFonts w:ascii="Times New Roman" w:hAnsi="Times New Roman" w:cs="Times New Roman"/>
          <w:sz w:val="24"/>
          <w:szCs w:val="24"/>
        </w:rPr>
        <w:t xml:space="preserve"> favoravelmente à tramitação e aprovação do</w:t>
      </w:r>
      <w:r w:rsidR="00AA2F4C" w:rsidRPr="005B3808">
        <w:rPr>
          <w:rFonts w:ascii="Times New Roman" w:hAnsi="Times New Roman" w:cs="Times New Roman"/>
          <w:sz w:val="24"/>
          <w:szCs w:val="24"/>
        </w:rPr>
        <w:t xml:space="preserve"> Projeto de </w:t>
      </w:r>
      <w:r w:rsidR="00AA2F4C" w:rsidRPr="005B3808">
        <w:rPr>
          <w:rFonts w:ascii="Times New Roman" w:hAnsi="Times New Roman" w:cs="Times New Roman"/>
          <w:color w:val="000000" w:themeColor="text1"/>
          <w:sz w:val="24"/>
          <w:szCs w:val="24"/>
        </w:rPr>
        <w:t>Lei n.º 0</w:t>
      </w:r>
      <w:r w:rsidR="00AA2F4C">
        <w:rPr>
          <w:rFonts w:ascii="Times New Roman" w:hAnsi="Times New Roman" w:cs="Times New Roman"/>
          <w:color w:val="000000" w:themeColor="text1"/>
          <w:sz w:val="24"/>
          <w:szCs w:val="24"/>
        </w:rPr>
        <w:t>36</w:t>
      </w:r>
      <w:r w:rsidR="00AA2F4C" w:rsidRPr="005B3808">
        <w:rPr>
          <w:rFonts w:ascii="Times New Roman" w:hAnsi="Times New Roman" w:cs="Times New Roman"/>
          <w:color w:val="000000" w:themeColor="text1"/>
          <w:sz w:val="24"/>
          <w:szCs w:val="24"/>
        </w:rPr>
        <w:t>/202</w:t>
      </w:r>
      <w:r w:rsidR="00AA2F4C">
        <w:rPr>
          <w:rFonts w:ascii="Times New Roman" w:hAnsi="Times New Roman" w:cs="Times New Roman"/>
          <w:color w:val="000000" w:themeColor="text1"/>
          <w:sz w:val="24"/>
          <w:szCs w:val="24"/>
        </w:rPr>
        <w:t>4</w:t>
      </w:r>
      <w:r w:rsidR="00AA2F4C" w:rsidRPr="005B3808">
        <w:rPr>
          <w:rFonts w:ascii="Times New Roman" w:hAnsi="Times New Roman" w:cs="Times New Roman"/>
          <w:color w:val="000000" w:themeColor="text1"/>
          <w:sz w:val="24"/>
          <w:szCs w:val="24"/>
        </w:rPr>
        <w:t>, de</w:t>
      </w:r>
      <w:r w:rsidR="00AA2F4C">
        <w:rPr>
          <w:rFonts w:ascii="Times New Roman" w:hAnsi="Times New Roman" w:cs="Times New Roman"/>
          <w:color w:val="000000" w:themeColor="text1"/>
          <w:sz w:val="24"/>
          <w:szCs w:val="24"/>
        </w:rPr>
        <w:t xml:space="preserve"> 10 de outubro de </w:t>
      </w:r>
      <w:r w:rsidR="00AA2F4C" w:rsidRPr="005B3808">
        <w:rPr>
          <w:rFonts w:ascii="Times New Roman" w:hAnsi="Times New Roman" w:cs="Times New Roman"/>
          <w:color w:val="000000" w:themeColor="text1"/>
          <w:sz w:val="24"/>
          <w:szCs w:val="24"/>
        </w:rPr>
        <w:t>202</w:t>
      </w:r>
      <w:r w:rsidR="00AA2F4C">
        <w:rPr>
          <w:rFonts w:ascii="Times New Roman" w:hAnsi="Times New Roman" w:cs="Times New Roman"/>
          <w:color w:val="000000" w:themeColor="text1"/>
          <w:sz w:val="24"/>
          <w:szCs w:val="24"/>
        </w:rPr>
        <w:t xml:space="preserve">4, podendo seguir a deliberação do Plenário. </w:t>
      </w:r>
      <w:r w:rsidR="00AA2F4C" w:rsidRPr="00235621">
        <w:rPr>
          <w:rFonts w:ascii="Times New Roman" w:hAnsi="Times New Roman" w:cs="Times New Roman"/>
          <w:b/>
          <w:color w:val="000000" w:themeColor="text1"/>
          <w:sz w:val="24"/>
          <w:szCs w:val="24"/>
          <w:u w:val="single"/>
        </w:rPr>
        <w:t>Projeto de Lei n.</w:t>
      </w:r>
      <w:r w:rsidR="00AA2F4C" w:rsidRPr="00B70518">
        <w:rPr>
          <w:rFonts w:ascii="Times New Roman" w:hAnsi="Times New Roman" w:cs="Times New Roman"/>
          <w:b/>
          <w:color w:val="000000" w:themeColor="text1"/>
          <w:sz w:val="24"/>
          <w:szCs w:val="24"/>
          <w:u w:val="single"/>
        </w:rPr>
        <w:t>º</w:t>
      </w:r>
      <w:r w:rsidR="00AA2F4C">
        <w:rPr>
          <w:rFonts w:ascii="Times New Roman" w:hAnsi="Times New Roman" w:cs="Times New Roman"/>
          <w:b/>
          <w:color w:val="000000" w:themeColor="text1"/>
          <w:sz w:val="24"/>
          <w:szCs w:val="24"/>
          <w:u w:val="single"/>
        </w:rPr>
        <w:t xml:space="preserve"> 037</w:t>
      </w:r>
      <w:r w:rsidR="00AA2F4C" w:rsidRPr="00B70518">
        <w:rPr>
          <w:rFonts w:ascii="Times New Roman" w:hAnsi="Times New Roman" w:cs="Times New Roman"/>
          <w:b/>
          <w:color w:val="000000" w:themeColor="text1"/>
          <w:sz w:val="24"/>
          <w:szCs w:val="24"/>
          <w:u w:val="single"/>
        </w:rPr>
        <w:t>/202</w:t>
      </w:r>
      <w:r w:rsidR="00AA2F4C">
        <w:rPr>
          <w:rFonts w:ascii="Times New Roman" w:hAnsi="Times New Roman" w:cs="Times New Roman"/>
          <w:b/>
          <w:color w:val="000000" w:themeColor="text1"/>
          <w:sz w:val="24"/>
          <w:szCs w:val="24"/>
          <w:u w:val="single"/>
        </w:rPr>
        <w:t>4</w:t>
      </w:r>
      <w:r w:rsidR="00AA2F4C" w:rsidRPr="00B70518">
        <w:rPr>
          <w:rFonts w:ascii="Times New Roman" w:hAnsi="Times New Roman" w:cs="Times New Roman"/>
          <w:b/>
          <w:color w:val="000000" w:themeColor="text1"/>
          <w:sz w:val="24"/>
          <w:szCs w:val="24"/>
          <w:u w:val="single"/>
        </w:rPr>
        <w:t xml:space="preserve">, </w:t>
      </w:r>
      <w:r w:rsidR="00AA2F4C">
        <w:rPr>
          <w:rFonts w:ascii="Times New Roman" w:hAnsi="Times New Roman" w:cs="Times New Roman"/>
          <w:b/>
          <w:color w:val="000000" w:themeColor="text1"/>
          <w:sz w:val="24"/>
          <w:szCs w:val="24"/>
          <w:u w:val="single"/>
        </w:rPr>
        <w:t>de 11 de outubro de 2024</w:t>
      </w:r>
      <w:r w:rsidR="00AA2F4C" w:rsidRPr="00B70518">
        <w:rPr>
          <w:rFonts w:ascii="Times New Roman" w:hAnsi="Times New Roman" w:cs="Times New Roman"/>
          <w:b/>
          <w:color w:val="000000" w:themeColor="text1"/>
          <w:sz w:val="24"/>
          <w:szCs w:val="24"/>
          <w:u w:val="single"/>
        </w:rPr>
        <w:t>.</w:t>
      </w:r>
      <w:r w:rsidR="00AA2F4C" w:rsidRPr="00235621">
        <w:rPr>
          <w:rFonts w:ascii="Times New Roman" w:hAnsi="Times New Roman" w:cs="Times New Roman"/>
          <w:b/>
          <w:color w:val="000000" w:themeColor="text1"/>
          <w:sz w:val="24"/>
          <w:szCs w:val="24"/>
        </w:rPr>
        <w:t xml:space="preserve"> Relatório: </w:t>
      </w:r>
      <w:r w:rsidR="00AA2F4C" w:rsidRPr="00A8603F">
        <w:rPr>
          <w:rFonts w:ascii="Times New Roman" w:hAnsi="Times New Roman" w:cs="Times New Roman"/>
          <w:color w:val="000000" w:themeColor="text1"/>
          <w:sz w:val="24"/>
          <w:szCs w:val="24"/>
        </w:rPr>
        <w:t>Também, de</w:t>
      </w:r>
      <w:r w:rsidR="00AA2F4C" w:rsidRPr="00235621">
        <w:rPr>
          <w:rFonts w:ascii="Times New Roman" w:hAnsi="Times New Roman" w:cs="Times New Roman"/>
          <w:sz w:val="24"/>
          <w:szCs w:val="24"/>
        </w:rPr>
        <w:t xml:space="preserve"> autoria do</w:t>
      </w:r>
      <w:r w:rsidR="00AA2F4C" w:rsidRPr="00235621">
        <w:rPr>
          <w:rFonts w:ascii="Times New Roman" w:hAnsi="Times New Roman" w:cs="Times New Roman"/>
          <w:b/>
          <w:sz w:val="24"/>
          <w:szCs w:val="24"/>
        </w:rPr>
        <w:t xml:space="preserve"> </w:t>
      </w:r>
      <w:r w:rsidR="00AA2F4C" w:rsidRPr="00676A91">
        <w:rPr>
          <w:rFonts w:ascii="Times New Roman" w:hAnsi="Times New Roman" w:cs="Times New Roman"/>
          <w:sz w:val="24"/>
          <w:szCs w:val="24"/>
        </w:rPr>
        <w:t xml:space="preserve">Exmo. </w:t>
      </w:r>
      <w:r w:rsidR="00AA2F4C" w:rsidRPr="00235621">
        <w:rPr>
          <w:rFonts w:ascii="Times New Roman" w:hAnsi="Times New Roman" w:cs="Times New Roman"/>
          <w:sz w:val="24"/>
          <w:szCs w:val="24"/>
        </w:rPr>
        <w:t>Prefeito Municipal</w:t>
      </w:r>
      <w:r w:rsidR="00AA2F4C">
        <w:rPr>
          <w:rFonts w:ascii="Times New Roman" w:hAnsi="Times New Roman" w:cs="Times New Roman"/>
          <w:sz w:val="24"/>
          <w:szCs w:val="24"/>
        </w:rPr>
        <w:t xml:space="preserve">, Sr. </w:t>
      </w:r>
      <w:proofErr w:type="spellStart"/>
      <w:r w:rsidR="00AA2F4C">
        <w:rPr>
          <w:rFonts w:ascii="Times New Roman" w:hAnsi="Times New Roman" w:cs="Times New Roman"/>
          <w:sz w:val="24"/>
          <w:szCs w:val="24"/>
        </w:rPr>
        <w:t>Idalir</w:t>
      </w:r>
      <w:proofErr w:type="spellEnd"/>
      <w:r w:rsidR="00AA2F4C">
        <w:rPr>
          <w:rFonts w:ascii="Times New Roman" w:hAnsi="Times New Roman" w:cs="Times New Roman"/>
          <w:sz w:val="24"/>
          <w:szCs w:val="24"/>
        </w:rPr>
        <w:t xml:space="preserve"> João Zanella</w:t>
      </w:r>
      <w:r w:rsidR="00AA2F4C" w:rsidRPr="00235621">
        <w:rPr>
          <w:rFonts w:ascii="Times New Roman" w:hAnsi="Times New Roman" w:cs="Times New Roman"/>
          <w:sz w:val="24"/>
          <w:szCs w:val="24"/>
        </w:rPr>
        <w:t xml:space="preserve">, </w:t>
      </w:r>
      <w:r w:rsidR="00AA2F4C">
        <w:rPr>
          <w:rFonts w:ascii="Times New Roman" w:hAnsi="Times New Roman" w:cs="Times New Roman"/>
          <w:sz w:val="24"/>
          <w:szCs w:val="24"/>
        </w:rPr>
        <w:t>após permanecer à disposição dos Vereadores junto à Secretaria Administrativa, foi encaminhado para análise das Comissões Permanentes o P</w:t>
      </w:r>
      <w:r w:rsidR="00AA2F4C" w:rsidRPr="00235621">
        <w:rPr>
          <w:rFonts w:ascii="Times New Roman" w:hAnsi="Times New Roman" w:cs="Times New Roman"/>
          <w:sz w:val="24"/>
          <w:szCs w:val="24"/>
        </w:rPr>
        <w:t xml:space="preserve">rojeto </w:t>
      </w:r>
      <w:r w:rsidR="00AA2F4C">
        <w:rPr>
          <w:rFonts w:ascii="Times New Roman" w:hAnsi="Times New Roman" w:cs="Times New Roman"/>
          <w:sz w:val="24"/>
          <w:szCs w:val="24"/>
        </w:rPr>
        <w:t xml:space="preserve">de Lei n.º </w:t>
      </w:r>
      <w:r w:rsidR="00AA2F4C">
        <w:rPr>
          <w:rFonts w:ascii="Times New Roman" w:hAnsi="Times New Roman" w:cs="Times New Roman"/>
          <w:color w:val="000000" w:themeColor="text1"/>
          <w:sz w:val="24"/>
          <w:szCs w:val="24"/>
        </w:rPr>
        <w:t>037/2024</w:t>
      </w:r>
      <w:r w:rsidR="00AA2F4C" w:rsidRPr="00961E24">
        <w:rPr>
          <w:rFonts w:ascii="Times New Roman" w:hAnsi="Times New Roman" w:cs="Times New Roman"/>
          <w:color w:val="000000" w:themeColor="text1"/>
          <w:sz w:val="24"/>
          <w:szCs w:val="24"/>
        </w:rPr>
        <w:t xml:space="preserve">, de </w:t>
      </w:r>
      <w:r w:rsidR="00AA2F4C">
        <w:rPr>
          <w:rFonts w:ascii="Times New Roman" w:hAnsi="Times New Roman" w:cs="Times New Roman"/>
          <w:color w:val="000000" w:themeColor="text1"/>
          <w:sz w:val="24"/>
          <w:szCs w:val="24"/>
        </w:rPr>
        <w:t xml:space="preserve">11 </w:t>
      </w:r>
      <w:r w:rsidR="00AA2F4C" w:rsidRPr="00961E24">
        <w:rPr>
          <w:rFonts w:ascii="Times New Roman" w:hAnsi="Times New Roman" w:cs="Times New Roman"/>
          <w:color w:val="000000" w:themeColor="text1"/>
          <w:sz w:val="24"/>
          <w:szCs w:val="24"/>
        </w:rPr>
        <w:t>de outubro de 202</w:t>
      </w:r>
      <w:r w:rsidR="00AA2F4C">
        <w:rPr>
          <w:rFonts w:ascii="Times New Roman" w:hAnsi="Times New Roman" w:cs="Times New Roman"/>
          <w:color w:val="000000" w:themeColor="text1"/>
          <w:sz w:val="24"/>
          <w:szCs w:val="24"/>
        </w:rPr>
        <w:t xml:space="preserve">4, que estima a receita e fixa a despesa do Município de Renascença para o exercício financeiro de 2025. A proposição apresenta estimativa de receita no valor total de R$ 70.417.000,00 (setenta milhões e quatrocentos e dezessete mil reais), sendo que a despesa também foi fixada em igual montante. De acordo com a </w:t>
      </w:r>
      <w:r w:rsidR="00AA2F4C" w:rsidRPr="00DE5589">
        <w:rPr>
          <w:rFonts w:ascii="Times New Roman" w:hAnsi="Times New Roman" w:cs="Times New Roman"/>
          <w:color w:val="000000" w:themeColor="text1"/>
          <w:sz w:val="24"/>
          <w:szCs w:val="24"/>
        </w:rPr>
        <w:t>Mensagem n.º 0</w:t>
      </w:r>
      <w:r w:rsidR="00AA2F4C">
        <w:rPr>
          <w:rFonts w:ascii="Times New Roman" w:hAnsi="Times New Roman" w:cs="Times New Roman"/>
          <w:color w:val="000000" w:themeColor="text1"/>
          <w:sz w:val="24"/>
          <w:szCs w:val="24"/>
        </w:rPr>
        <w:t>37 de 2024</w:t>
      </w:r>
      <w:r w:rsidR="00AA2F4C" w:rsidRPr="00DE5589">
        <w:rPr>
          <w:rFonts w:ascii="Times New Roman" w:hAnsi="Times New Roman" w:cs="Times New Roman"/>
          <w:color w:val="000000" w:themeColor="text1"/>
          <w:sz w:val="24"/>
          <w:szCs w:val="24"/>
        </w:rPr>
        <w:t xml:space="preserve">, que acompanha o projeto, </w:t>
      </w:r>
      <w:r w:rsidR="00AA2F4C">
        <w:rPr>
          <w:rFonts w:ascii="Times New Roman" w:hAnsi="Times New Roman" w:cs="Times New Roman"/>
          <w:color w:val="000000" w:themeColor="text1"/>
          <w:sz w:val="24"/>
          <w:szCs w:val="24"/>
        </w:rPr>
        <w:t xml:space="preserve">esclarece o Chefe do Poder Executivo que o projeto foi elaborado de acordo com os programas de governo estabelecidos no Plano Plurianual para o período de 2022 a 2025, Lei de Diretrizes Orçamentárias para 2025 e as exigências contidas na Lei de Responsabilidade Fiscal, atendendo assim o princípio do equilíbrio orçamentário, bem como todas as alterações de estrutura orçamentária previstas pelas Portarias da Secretaria do Tesouro Nacional e Instruções Técnicas do Tribunal de Contas do Estado do Paraná. No prazo regimental, foram apresentadas ao projeto as </w:t>
      </w:r>
      <w:r w:rsidR="00AA2F4C" w:rsidRPr="00244741">
        <w:rPr>
          <w:rFonts w:ascii="Times New Roman" w:hAnsi="Times New Roman" w:cs="Times New Roman"/>
          <w:color w:val="000000" w:themeColor="text1"/>
          <w:sz w:val="24"/>
          <w:szCs w:val="24"/>
        </w:rPr>
        <w:t xml:space="preserve">Emendas Impositivas de Bancadas </w:t>
      </w:r>
      <w:proofErr w:type="spellStart"/>
      <w:r w:rsidR="00AA2F4C" w:rsidRPr="00244741">
        <w:rPr>
          <w:rFonts w:ascii="Times New Roman" w:hAnsi="Times New Roman" w:cs="Times New Roman"/>
          <w:color w:val="000000" w:themeColor="text1"/>
          <w:sz w:val="24"/>
          <w:szCs w:val="24"/>
        </w:rPr>
        <w:t>ns.º</w:t>
      </w:r>
      <w:proofErr w:type="spellEnd"/>
      <w:r w:rsidR="00AA2F4C" w:rsidRPr="00244741">
        <w:rPr>
          <w:rFonts w:ascii="Times New Roman" w:hAnsi="Times New Roman" w:cs="Times New Roman"/>
          <w:color w:val="000000" w:themeColor="text1"/>
          <w:sz w:val="24"/>
          <w:szCs w:val="24"/>
        </w:rPr>
        <w:t xml:space="preserve"> 001/202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002/202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003/202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xml:space="preserve"> 004/2024</w:t>
      </w:r>
      <w:r w:rsidR="00AA2F4C">
        <w:rPr>
          <w:rFonts w:ascii="Times New Roman" w:hAnsi="Times New Roman" w:cs="Times New Roman"/>
          <w:color w:val="000000" w:themeColor="text1"/>
          <w:sz w:val="24"/>
          <w:szCs w:val="24"/>
        </w:rPr>
        <w:t xml:space="preserve"> e 05/2024</w:t>
      </w:r>
      <w:r w:rsidR="00AA2F4C" w:rsidRPr="00244741">
        <w:rPr>
          <w:rFonts w:ascii="Times New Roman" w:hAnsi="Times New Roman" w:cs="Times New Roman"/>
          <w:color w:val="000000" w:themeColor="text1"/>
          <w:sz w:val="24"/>
          <w:szCs w:val="24"/>
        </w:rPr>
        <w:t xml:space="preserve">, </w:t>
      </w:r>
      <w:r w:rsidR="00AA2F4C">
        <w:rPr>
          <w:rFonts w:ascii="Times New Roman" w:hAnsi="Times New Roman" w:cs="Times New Roman"/>
          <w:color w:val="000000" w:themeColor="text1"/>
          <w:sz w:val="24"/>
          <w:szCs w:val="24"/>
        </w:rPr>
        <w:t xml:space="preserve">e </w:t>
      </w:r>
      <w:r w:rsidR="00AA2F4C" w:rsidRPr="00244741">
        <w:rPr>
          <w:rFonts w:ascii="Times New Roman" w:hAnsi="Times New Roman" w:cs="Times New Roman"/>
          <w:color w:val="000000" w:themeColor="text1"/>
          <w:sz w:val="24"/>
          <w:szCs w:val="24"/>
        </w:rPr>
        <w:t xml:space="preserve">as Emendas Impositivas Individuais </w:t>
      </w:r>
      <w:proofErr w:type="spellStart"/>
      <w:r w:rsidR="00AA2F4C" w:rsidRPr="00244741">
        <w:rPr>
          <w:rFonts w:ascii="Times New Roman" w:hAnsi="Times New Roman" w:cs="Times New Roman"/>
          <w:color w:val="000000" w:themeColor="text1"/>
          <w:sz w:val="24"/>
          <w:szCs w:val="24"/>
        </w:rPr>
        <w:t>ns.º</w:t>
      </w:r>
      <w:proofErr w:type="spellEnd"/>
      <w:r w:rsidR="00AA2F4C" w:rsidRPr="00244741">
        <w:rPr>
          <w:rFonts w:ascii="Times New Roman" w:hAnsi="Times New Roman" w:cs="Times New Roman"/>
          <w:color w:val="000000" w:themeColor="text1"/>
          <w:sz w:val="24"/>
          <w:szCs w:val="24"/>
        </w:rPr>
        <w:t xml:space="preserve"> 001/202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002/202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003/202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004/202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005/202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006/202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007/202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008/202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 xml:space="preserve"> e 009/202</w:t>
      </w:r>
      <w:r w:rsidR="00AA2F4C">
        <w:rPr>
          <w:rFonts w:ascii="Times New Roman" w:hAnsi="Times New Roman" w:cs="Times New Roman"/>
          <w:color w:val="000000" w:themeColor="text1"/>
          <w:sz w:val="24"/>
          <w:szCs w:val="24"/>
        </w:rPr>
        <w:t>4</w:t>
      </w:r>
      <w:r w:rsidR="00AA2F4C" w:rsidRPr="00244741">
        <w:rPr>
          <w:rFonts w:ascii="Times New Roman" w:hAnsi="Times New Roman" w:cs="Times New Roman"/>
          <w:color w:val="000000" w:themeColor="text1"/>
          <w:sz w:val="24"/>
          <w:szCs w:val="24"/>
        </w:rPr>
        <w:t>.</w:t>
      </w:r>
      <w:r w:rsidR="00AA2F4C" w:rsidRPr="00235621">
        <w:rPr>
          <w:rFonts w:ascii="Times New Roman" w:hAnsi="Times New Roman" w:cs="Times New Roman"/>
          <w:sz w:val="24"/>
          <w:szCs w:val="24"/>
        </w:rPr>
        <w:t xml:space="preserve"> </w:t>
      </w:r>
      <w:r w:rsidR="00AA2F4C">
        <w:rPr>
          <w:rFonts w:ascii="Times New Roman" w:hAnsi="Times New Roman" w:cs="Times New Roman"/>
          <w:sz w:val="24"/>
          <w:szCs w:val="24"/>
        </w:rPr>
        <w:t xml:space="preserve">Por fim, nos termos regimentais, em 05 de novembro de 2024, foi realizada pela Comissão de Finanças e Orçamento audiência pública com o propósito de debater o projeto e oportunizar apresentação de propostas pela comunidade. Contudo, não houve apresentação de propostas. É o relatório. </w:t>
      </w:r>
      <w:r w:rsidR="00AA2F4C" w:rsidRPr="00235621">
        <w:rPr>
          <w:rFonts w:ascii="Times New Roman" w:hAnsi="Times New Roman" w:cs="Times New Roman"/>
          <w:b/>
          <w:sz w:val="24"/>
          <w:szCs w:val="24"/>
        </w:rPr>
        <w:t xml:space="preserve">Análise da matéria: </w:t>
      </w:r>
      <w:r w:rsidR="00AA2F4C" w:rsidRPr="001B3B6C">
        <w:rPr>
          <w:rFonts w:ascii="Times New Roman" w:hAnsi="Times New Roman" w:cs="Times New Roman"/>
          <w:sz w:val="24"/>
          <w:szCs w:val="24"/>
        </w:rPr>
        <w:t>Inicialmente,</w:t>
      </w:r>
      <w:r w:rsidR="00AA2F4C">
        <w:rPr>
          <w:rFonts w:ascii="Times New Roman" w:hAnsi="Times New Roman" w:cs="Times New Roman"/>
          <w:b/>
          <w:sz w:val="24"/>
          <w:szCs w:val="24"/>
        </w:rPr>
        <w:t xml:space="preserve"> </w:t>
      </w:r>
      <w:r w:rsidR="00AA2F4C" w:rsidRPr="00235621">
        <w:rPr>
          <w:rFonts w:ascii="Times New Roman" w:hAnsi="Times New Roman" w:cs="Times New Roman"/>
          <w:sz w:val="24"/>
          <w:szCs w:val="24"/>
        </w:rPr>
        <w:t xml:space="preserve">cabe destacar que o Projeto de Lei é de autoria do Chefe do Poder Executivo, ao qual compete a iniciativa </w:t>
      </w:r>
      <w:r w:rsidR="00AA2F4C">
        <w:rPr>
          <w:rFonts w:ascii="Times New Roman" w:hAnsi="Times New Roman" w:cs="Times New Roman"/>
          <w:sz w:val="24"/>
          <w:szCs w:val="24"/>
        </w:rPr>
        <w:t xml:space="preserve">privativa de </w:t>
      </w:r>
      <w:r w:rsidR="00AA2F4C" w:rsidRPr="00565B67">
        <w:rPr>
          <w:rFonts w:ascii="Times New Roman" w:hAnsi="Times New Roman" w:cs="Times New Roman"/>
          <w:sz w:val="24"/>
          <w:szCs w:val="24"/>
        </w:rPr>
        <w:t>matéria</w:t>
      </w:r>
      <w:r w:rsidR="00AA2F4C">
        <w:rPr>
          <w:rFonts w:ascii="Times New Roman" w:hAnsi="Times New Roman" w:cs="Times New Roman"/>
          <w:sz w:val="24"/>
          <w:szCs w:val="24"/>
        </w:rPr>
        <w:t xml:space="preserve"> orçamentária</w:t>
      </w:r>
      <w:r w:rsidR="00AA2F4C" w:rsidRPr="00565B67">
        <w:rPr>
          <w:rFonts w:ascii="Times New Roman" w:hAnsi="Times New Roman" w:cs="Times New Roman"/>
          <w:sz w:val="24"/>
          <w:szCs w:val="24"/>
        </w:rPr>
        <w:t>, nos termos do artigo 165, inciso III da Constituição Federal e do artigo 139, inciso III da Lei Orgânica</w:t>
      </w:r>
      <w:r w:rsidR="00AA2F4C">
        <w:rPr>
          <w:rFonts w:ascii="Times New Roman" w:hAnsi="Times New Roman" w:cs="Times New Roman"/>
          <w:sz w:val="24"/>
          <w:szCs w:val="24"/>
        </w:rPr>
        <w:t xml:space="preserve"> municipal</w:t>
      </w:r>
      <w:r w:rsidR="00AA2F4C" w:rsidRPr="00565B67">
        <w:rPr>
          <w:rFonts w:ascii="Times New Roman" w:hAnsi="Times New Roman" w:cs="Times New Roman"/>
          <w:sz w:val="24"/>
          <w:szCs w:val="24"/>
        </w:rPr>
        <w:t>.</w:t>
      </w:r>
      <w:r w:rsidR="00AA2F4C" w:rsidRPr="00565B67">
        <w:rPr>
          <w:rFonts w:ascii="Times New Roman" w:hAnsi="Times New Roman" w:cs="Times New Roman"/>
          <w:b/>
          <w:sz w:val="24"/>
          <w:szCs w:val="24"/>
        </w:rPr>
        <w:t xml:space="preserve"> </w:t>
      </w:r>
      <w:r w:rsidR="00AA2F4C" w:rsidRPr="00565B67">
        <w:rPr>
          <w:rFonts w:ascii="Times New Roman" w:hAnsi="Times New Roman" w:cs="Times New Roman"/>
          <w:sz w:val="24"/>
          <w:szCs w:val="24"/>
        </w:rPr>
        <w:t>A matéria em exame tem por objetivo estimar a receita e fixar a despesa do Município de Renascença para o exercício financeiro de 202</w:t>
      </w:r>
      <w:r w:rsidR="00AA2F4C">
        <w:rPr>
          <w:rFonts w:ascii="Times New Roman" w:hAnsi="Times New Roman" w:cs="Times New Roman"/>
          <w:sz w:val="24"/>
          <w:szCs w:val="24"/>
        </w:rPr>
        <w:t xml:space="preserve">5, </w:t>
      </w:r>
      <w:r w:rsidR="00AA2F4C">
        <w:rPr>
          <w:rFonts w:ascii="Times New Roman" w:hAnsi="Times New Roman" w:cs="Times New Roman"/>
          <w:sz w:val="24"/>
          <w:szCs w:val="24"/>
        </w:rPr>
        <w:lastRenderedPageBreak/>
        <w:t xml:space="preserve">no valor total de </w:t>
      </w:r>
      <w:r w:rsidR="00AA2F4C">
        <w:rPr>
          <w:rFonts w:ascii="Times New Roman" w:hAnsi="Times New Roman" w:cs="Times New Roman"/>
          <w:color w:val="000000" w:themeColor="text1"/>
          <w:sz w:val="24"/>
          <w:szCs w:val="24"/>
        </w:rPr>
        <w:t xml:space="preserve">R$ 70.417.000,00 (setenta milhões e quatrocentos e dezessete mil reais). Segundo o que estabelece o projeto, a receita será realizada mediante arrecadação de tributos e outras receitas correntes e de capital, de acordo com o seguinte desdobramento: </w:t>
      </w:r>
    </w:p>
    <w:p w14:paraId="334B9AD7"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 Administração Direta – R$</w:t>
      </w:r>
    </w:p>
    <w:tbl>
      <w:tblPr>
        <w:tblStyle w:val="Tabelacomgrade"/>
        <w:tblW w:w="0" w:type="auto"/>
        <w:tblInd w:w="108" w:type="dxa"/>
        <w:tblLook w:val="04A0" w:firstRow="1" w:lastRow="0" w:firstColumn="1" w:lastColumn="0" w:noHBand="0" w:noVBand="1"/>
      </w:tblPr>
      <w:tblGrid>
        <w:gridCol w:w="5742"/>
        <w:gridCol w:w="2644"/>
      </w:tblGrid>
      <w:tr w:rsidR="00AA2F4C" w14:paraId="3610443B" w14:textId="77777777" w:rsidTr="009F77ED">
        <w:tc>
          <w:tcPr>
            <w:tcW w:w="5812" w:type="dxa"/>
          </w:tcPr>
          <w:p w14:paraId="76800930" w14:textId="77777777" w:rsidR="00AA2F4C" w:rsidRPr="006333B3" w:rsidRDefault="00AA2F4C" w:rsidP="009F77ED">
            <w:pPr>
              <w:jc w:val="both"/>
              <w:rPr>
                <w:rFonts w:ascii="Times New Roman" w:hAnsi="Times New Roman" w:cs="Times New Roman"/>
                <w:b/>
                <w:color w:val="000000" w:themeColor="text1"/>
                <w:sz w:val="24"/>
                <w:szCs w:val="24"/>
              </w:rPr>
            </w:pPr>
            <w:r w:rsidRPr="006333B3">
              <w:rPr>
                <w:rFonts w:ascii="Times New Roman" w:hAnsi="Times New Roman" w:cs="Times New Roman"/>
                <w:b/>
                <w:color w:val="000000" w:themeColor="text1"/>
                <w:sz w:val="24"/>
                <w:szCs w:val="24"/>
              </w:rPr>
              <w:t>RECEITAS CORRENTES</w:t>
            </w:r>
          </w:p>
        </w:tc>
        <w:tc>
          <w:tcPr>
            <w:tcW w:w="2662" w:type="dxa"/>
          </w:tcPr>
          <w:p w14:paraId="28ED6389" w14:textId="77777777" w:rsidR="00AA2F4C" w:rsidRPr="006333B3" w:rsidRDefault="00AA2F4C" w:rsidP="009F77ED">
            <w:pPr>
              <w:jc w:val="both"/>
              <w:rPr>
                <w:rFonts w:ascii="Times New Roman" w:hAnsi="Times New Roman" w:cs="Times New Roman"/>
                <w:b/>
                <w:color w:val="000000" w:themeColor="text1"/>
                <w:sz w:val="24"/>
                <w:szCs w:val="24"/>
              </w:rPr>
            </w:pPr>
            <w:r w:rsidRPr="006333B3">
              <w:rPr>
                <w:rFonts w:ascii="Times New Roman" w:hAnsi="Times New Roman" w:cs="Times New Roman"/>
                <w:b/>
                <w:color w:val="000000" w:themeColor="text1"/>
                <w:sz w:val="24"/>
                <w:szCs w:val="24"/>
              </w:rPr>
              <w:t>73.377.000,00</w:t>
            </w:r>
          </w:p>
        </w:tc>
      </w:tr>
      <w:tr w:rsidR="00AA2F4C" w14:paraId="01379F80" w14:textId="77777777" w:rsidTr="009F77ED">
        <w:tc>
          <w:tcPr>
            <w:tcW w:w="5812" w:type="dxa"/>
          </w:tcPr>
          <w:p w14:paraId="29164D8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Tributária</w:t>
            </w:r>
          </w:p>
        </w:tc>
        <w:tc>
          <w:tcPr>
            <w:tcW w:w="2662" w:type="dxa"/>
          </w:tcPr>
          <w:p w14:paraId="57A8C919"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6.552.000,00</w:t>
            </w:r>
          </w:p>
        </w:tc>
      </w:tr>
      <w:tr w:rsidR="00AA2F4C" w14:paraId="4E6A50EE" w14:textId="77777777" w:rsidTr="009F77ED">
        <w:tc>
          <w:tcPr>
            <w:tcW w:w="5812" w:type="dxa"/>
          </w:tcPr>
          <w:p w14:paraId="4DEE95B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de Contribuições</w:t>
            </w:r>
          </w:p>
        </w:tc>
        <w:tc>
          <w:tcPr>
            <w:tcW w:w="2662" w:type="dxa"/>
          </w:tcPr>
          <w:p w14:paraId="54F176E0"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4.549.000,00</w:t>
            </w:r>
          </w:p>
        </w:tc>
      </w:tr>
      <w:tr w:rsidR="00AA2F4C" w14:paraId="277CE690" w14:textId="77777777" w:rsidTr="009F77ED">
        <w:tc>
          <w:tcPr>
            <w:tcW w:w="5812" w:type="dxa"/>
          </w:tcPr>
          <w:p w14:paraId="5FAFA755"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Patrimonial</w:t>
            </w:r>
          </w:p>
        </w:tc>
        <w:tc>
          <w:tcPr>
            <w:tcW w:w="2662" w:type="dxa"/>
          </w:tcPr>
          <w:p w14:paraId="70B33ECB"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2.773.000,00</w:t>
            </w:r>
          </w:p>
        </w:tc>
      </w:tr>
      <w:tr w:rsidR="00AA2F4C" w14:paraId="00E39892" w14:textId="77777777" w:rsidTr="009F77ED">
        <w:tc>
          <w:tcPr>
            <w:tcW w:w="5812" w:type="dxa"/>
          </w:tcPr>
          <w:p w14:paraId="7DA5DCA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Agropecuária</w:t>
            </w:r>
          </w:p>
        </w:tc>
        <w:tc>
          <w:tcPr>
            <w:tcW w:w="2662" w:type="dxa"/>
          </w:tcPr>
          <w:p w14:paraId="5F0FEC2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305.000,00</w:t>
            </w:r>
          </w:p>
        </w:tc>
      </w:tr>
      <w:tr w:rsidR="00AA2F4C" w14:paraId="1D87F047" w14:textId="77777777" w:rsidTr="009F77ED">
        <w:tc>
          <w:tcPr>
            <w:tcW w:w="5812" w:type="dxa"/>
          </w:tcPr>
          <w:p w14:paraId="3660CAF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Industrial</w:t>
            </w:r>
          </w:p>
        </w:tc>
        <w:tc>
          <w:tcPr>
            <w:tcW w:w="2662" w:type="dxa"/>
          </w:tcPr>
          <w:p w14:paraId="3A56585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336.000,00</w:t>
            </w:r>
          </w:p>
        </w:tc>
      </w:tr>
      <w:tr w:rsidR="00AA2F4C" w14:paraId="591AAD32" w14:textId="77777777" w:rsidTr="009F77ED">
        <w:tc>
          <w:tcPr>
            <w:tcW w:w="5812" w:type="dxa"/>
          </w:tcPr>
          <w:p w14:paraId="03199223"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de Serviços</w:t>
            </w:r>
          </w:p>
        </w:tc>
        <w:tc>
          <w:tcPr>
            <w:tcW w:w="2662" w:type="dxa"/>
          </w:tcPr>
          <w:p w14:paraId="070800FD"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610.000,00</w:t>
            </w:r>
          </w:p>
        </w:tc>
      </w:tr>
      <w:tr w:rsidR="00AA2F4C" w14:paraId="23CDDCA4" w14:textId="77777777" w:rsidTr="009F77ED">
        <w:tc>
          <w:tcPr>
            <w:tcW w:w="5812" w:type="dxa"/>
          </w:tcPr>
          <w:p w14:paraId="6F734C57"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Transferências correntes</w:t>
            </w:r>
          </w:p>
        </w:tc>
        <w:tc>
          <w:tcPr>
            <w:tcW w:w="2662" w:type="dxa"/>
          </w:tcPr>
          <w:p w14:paraId="354499D2"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53.671.000,00</w:t>
            </w:r>
          </w:p>
        </w:tc>
      </w:tr>
      <w:tr w:rsidR="00AA2F4C" w14:paraId="243BAADC" w14:textId="77777777" w:rsidTr="009F77ED">
        <w:tc>
          <w:tcPr>
            <w:tcW w:w="5812" w:type="dxa"/>
          </w:tcPr>
          <w:p w14:paraId="2B9640C4"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Outras Receitas Correntes</w:t>
            </w:r>
          </w:p>
        </w:tc>
        <w:tc>
          <w:tcPr>
            <w:tcW w:w="2662" w:type="dxa"/>
          </w:tcPr>
          <w:p w14:paraId="3E3F7A17"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4.581.000,00</w:t>
            </w:r>
          </w:p>
        </w:tc>
      </w:tr>
      <w:tr w:rsidR="00AA2F4C" w14:paraId="078554D9" w14:textId="77777777" w:rsidTr="009F77ED">
        <w:tc>
          <w:tcPr>
            <w:tcW w:w="5812" w:type="dxa"/>
          </w:tcPr>
          <w:p w14:paraId="20167FFB" w14:textId="77777777" w:rsidR="00AA2F4C" w:rsidRPr="006333B3" w:rsidRDefault="00AA2F4C" w:rsidP="009F77E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Deduções C</w:t>
            </w:r>
            <w:r w:rsidRPr="006333B3">
              <w:rPr>
                <w:rFonts w:ascii="Times New Roman" w:hAnsi="Times New Roman" w:cs="Times New Roman"/>
                <w:b/>
                <w:color w:val="000000" w:themeColor="text1"/>
                <w:sz w:val="24"/>
                <w:szCs w:val="24"/>
              </w:rPr>
              <w:t>orrentes</w:t>
            </w:r>
          </w:p>
        </w:tc>
        <w:tc>
          <w:tcPr>
            <w:tcW w:w="2662" w:type="dxa"/>
          </w:tcPr>
          <w:p w14:paraId="1A3893A8" w14:textId="77777777" w:rsidR="00AA2F4C" w:rsidRPr="006333B3" w:rsidRDefault="00AA2F4C" w:rsidP="009F77ED">
            <w:pPr>
              <w:jc w:val="both"/>
              <w:rPr>
                <w:rFonts w:ascii="Times New Roman" w:hAnsi="Times New Roman" w:cs="Times New Roman"/>
                <w:b/>
                <w:color w:val="000000" w:themeColor="text1"/>
                <w:sz w:val="24"/>
                <w:szCs w:val="24"/>
              </w:rPr>
            </w:pPr>
            <w:r w:rsidRPr="006333B3">
              <w:rPr>
                <w:rFonts w:ascii="Times New Roman" w:hAnsi="Times New Roman" w:cs="Times New Roman"/>
                <w:b/>
                <w:color w:val="000000" w:themeColor="text1"/>
                <w:sz w:val="24"/>
                <w:szCs w:val="24"/>
              </w:rPr>
              <w:t>(-) 7.340.000,00</w:t>
            </w:r>
          </w:p>
        </w:tc>
      </w:tr>
      <w:tr w:rsidR="00AA2F4C" w14:paraId="6EDAF53B" w14:textId="77777777" w:rsidTr="009F77ED">
        <w:tc>
          <w:tcPr>
            <w:tcW w:w="5812" w:type="dxa"/>
          </w:tcPr>
          <w:p w14:paraId="2114C0E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Dedução de Receita - Renúncia</w:t>
            </w:r>
          </w:p>
        </w:tc>
        <w:tc>
          <w:tcPr>
            <w:tcW w:w="2662" w:type="dxa"/>
          </w:tcPr>
          <w:p w14:paraId="34384C7C"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68.000,00</w:t>
            </w:r>
          </w:p>
        </w:tc>
      </w:tr>
      <w:tr w:rsidR="00AA2F4C" w14:paraId="04EB1F4F" w14:textId="77777777" w:rsidTr="009F77ED">
        <w:tc>
          <w:tcPr>
            <w:tcW w:w="5812" w:type="dxa"/>
          </w:tcPr>
          <w:p w14:paraId="60FEBD83"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Dedução de Receita - Restituições</w:t>
            </w:r>
          </w:p>
        </w:tc>
        <w:tc>
          <w:tcPr>
            <w:tcW w:w="2662" w:type="dxa"/>
          </w:tcPr>
          <w:p w14:paraId="27B925C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6.000,00</w:t>
            </w:r>
          </w:p>
        </w:tc>
      </w:tr>
      <w:tr w:rsidR="00AA2F4C" w14:paraId="18327326" w14:textId="77777777" w:rsidTr="009F77ED">
        <w:tc>
          <w:tcPr>
            <w:tcW w:w="5812" w:type="dxa"/>
          </w:tcPr>
          <w:p w14:paraId="4B1CCF4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Dedução de Receita – Descontos Concedidos</w:t>
            </w:r>
          </w:p>
        </w:tc>
        <w:tc>
          <w:tcPr>
            <w:tcW w:w="2662" w:type="dxa"/>
          </w:tcPr>
          <w:p w14:paraId="2B48856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19.000,00</w:t>
            </w:r>
          </w:p>
        </w:tc>
      </w:tr>
      <w:tr w:rsidR="00AA2F4C" w14:paraId="5A78450B" w14:textId="77777777" w:rsidTr="009F77ED">
        <w:tc>
          <w:tcPr>
            <w:tcW w:w="5812" w:type="dxa"/>
          </w:tcPr>
          <w:p w14:paraId="62782B2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Dedução de Receita para Formação do FUNDEB</w:t>
            </w:r>
          </w:p>
        </w:tc>
        <w:tc>
          <w:tcPr>
            <w:tcW w:w="2662" w:type="dxa"/>
          </w:tcPr>
          <w:p w14:paraId="371C79C5"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7.244.000,00</w:t>
            </w:r>
          </w:p>
        </w:tc>
      </w:tr>
      <w:tr w:rsidR="00AA2F4C" w14:paraId="6A13E810" w14:textId="77777777" w:rsidTr="009F77ED">
        <w:tc>
          <w:tcPr>
            <w:tcW w:w="5812" w:type="dxa"/>
          </w:tcPr>
          <w:p w14:paraId="52FDA5F7"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Dedução de Receita - Compensações</w:t>
            </w:r>
          </w:p>
        </w:tc>
        <w:tc>
          <w:tcPr>
            <w:tcW w:w="2662" w:type="dxa"/>
          </w:tcPr>
          <w:p w14:paraId="67D4CEF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1.000,00</w:t>
            </w:r>
          </w:p>
        </w:tc>
      </w:tr>
      <w:tr w:rsidR="00AA2F4C" w14:paraId="7091E6BC" w14:textId="77777777" w:rsidTr="009F77ED">
        <w:tc>
          <w:tcPr>
            <w:tcW w:w="5812" w:type="dxa"/>
          </w:tcPr>
          <w:p w14:paraId="18BA98F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Dedução de Receita – Outras Deduções</w:t>
            </w:r>
          </w:p>
        </w:tc>
        <w:tc>
          <w:tcPr>
            <w:tcW w:w="2662" w:type="dxa"/>
          </w:tcPr>
          <w:p w14:paraId="498AE577"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2.000,00</w:t>
            </w:r>
          </w:p>
        </w:tc>
      </w:tr>
      <w:tr w:rsidR="00AA2F4C" w14:paraId="2C756DDF" w14:textId="77777777" w:rsidTr="009F77ED">
        <w:tc>
          <w:tcPr>
            <w:tcW w:w="5812" w:type="dxa"/>
          </w:tcPr>
          <w:p w14:paraId="284DB8B4" w14:textId="77777777" w:rsidR="00AA2F4C" w:rsidRPr="006333B3" w:rsidRDefault="00AA2F4C" w:rsidP="009F77ED">
            <w:pPr>
              <w:jc w:val="both"/>
              <w:rPr>
                <w:rFonts w:ascii="Times New Roman" w:hAnsi="Times New Roman" w:cs="Times New Roman"/>
                <w:b/>
                <w:color w:val="000000" w:themeColor="text1"/>
                <w:sz w:val="24"/>
                <w:szCs w:val="24"/>
              </w:rPr>
            </w:pPr>
            <w:r w:rsidRPr="006333B3">
              <w:rPr>
                <w:rFonts w:ascii="Times New Roman" w:hAnsi="Times New Roman" w:cs="Times New Roman"/>
                <w:b/>
                <w:color w:val="000000" w:themeColor="text1"/>
                <w:sz w:val="24"/>
                <w:szCs w:val="24"/>
              </w:rPr>
              <w:t>RECEITAS DE CAPITAL</w:t>
            </w:r>
          </w:p>
        </w:tc>
        <w:tc>
          <w:tcPr>
            <w:tcW w:w="2662" w:type="dxa"/>
          </w:tcPr>
          <w:p w14:paraId="48B3955A" w14:textId="77777777" w:rsidR="00AA2F4C" w:rsidRPr="006333B3" w:rsidRDefault="00AA2F4C" w:rsidP="009F77ED">
            <w:pPr>
              <w:jc w:val="both"/>
              <w:rPr>
                <w:rFonts w:ascii="Times New Roman" w:hAnsi="Times New Roman" w:cs="Times New Roman"/>
                <w:b/>
                <w:color w:val="000000" w:themeColor="text1"/>
                <w:sz w:val="24"/>
                <w:szCs w:val="24"/>
              </w:rPr>
            </w:pPr>
            <w:r w:rsidRPr="006333B3">
              <w:rPr>
                <w:rFonts w:ascii="Times New Roman" w:hAnsi="Times New Roman" w:cs="Times New Roman"/>
                <w:b/>
                <w:color w:val="000000" w:themeColor="text1"/>
                <w:sz w:val="24"/>
                <w:szCs w:val="24"/>
              </w:rPr>
              <w:t>4.380.000,00</w:t>
            </w:r>
          </w:p>
        </w:tc>
      </w:tr>
      <w:tr w:rsidR="00AA2F4C" w14:paraId="42522F1F" w14:textId="77777777" w:rsidTr="009F77ED">
        <w:tc>
          <w:tcPr>
            <w:tcW w:w="5812" w:type="dxa"/>
          </w:tcPr>
          <w:p w14:paraId="3004C520"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Operações de Crédito</w:t>
            </w:r>
          </w:p>
        </w:tc>
        <w:tc>
          <w:tcPr>
            <w:tcW w:w="2662" w:type="dxa"/>
          </w:tcPr>
          <w:p w14:paraId="420B308B"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80.000,00</w:t>
            </w:r>
          </w:p>
        </w:tc>
      </w:tr>
      <w:tr w:rsidR="00AA2F4C" w14:paraId="352330B3" w14:textId="77777777" w:rsidTr="009F77ED">
        <w:tc>
          <w:tcPr>
            <w:tcW w:w="5812" w:type="dxa"/>
          </w:tcPr>
          <w:p w14:paraId="65E67DF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Alienação de Bens</w:t>
            </w:r>
          </w:p>
        </w:tc>
        <w:tc>
          <w:tcPr>
            <w:tcW w:w="2662" w:type="dxa"/>
          </w:tcPr>
          <w:p w14:paraId="567A83E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693.000,00</w:t>
            </w:r>
          </w:p>
        </w:tc>
      </w:tr>
      <w:tr w:rsidR="00AA2F4C" w14:paraId="5B54013E" w14:textId="77777777" w:rsidTr="009F77ED">
        <w:tc>
          <w:tcPr>
            <w:tcW w:w="5812" w:type="dxa"/>
          </w:tcPr>
          <w:p w14:paraId="22101F9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Transferências de Capital</w:t>
            </w:r>
          </w:p>
        </w:tc>
        <w:tc>
          <w:tcPr>
            <w:tcW w:w="2662" w:type="dxa"/>
          </w:tcPr>
          <w:p w14:paraId="5F97BDAA"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623.000,00</w:t>
            </w:r>
          </w:p>
        </w:tc>
      </w:tr>
      <w:tr w:rsidR="00AA2F4C" w14:paraId="66BF1F28" w14:textId="77777777" w:rsidTr="009F77ED">
        <w:tc>
          <w:tcPr>
            <w:tcW w:w="5812" w:type="dxa"/>
          </w:tcPr>
          <w:p w14:paraId="40C0833C"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Outras Receitas de Capital</w:t>
            </w:r>
          </w:p>
        </w:tc>
        <w:tc>
          <w:tcPr>
            <w:tcW w:w="2662" w:type="dxa"/>
          </w:tcPr>
          <w:p w14:paraId="34777B3A"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2.984.000,00</w:t>
            </w:r>
          </w:p>
        </w:tc>
      </w:tr>
      <w:tr w:rsidR="00AA2F4C" w14:paraId="4AC68CC3" w14:textId="77777777" w:rsidTr="009F77ED">
        <w:tc>
          <w:tcPr>
            <w:tcW w:w="5812" w:type="dxa"/>
          </w:tcPr>
          <w:p w14:paraId="4D1B3F7C"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Total da Receita Líquida</w:t>
            </w:r>
          </w:p>
        </w:tc>
        <w:tc>
          <w:tcPr>
            <w:tcW w:w="2662" w:type="dxa"/>
          </w:tcPr>
          <w:p w14:paraId="295F5EDA"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70.417.000,00</w:t>
            </w:r>
          </w:p>
        </w:tc>
      </w:tr>
    </w:tbl>
    <w:p w14:paraId="3E12FE31" w14:textId="77777777" w:rsidR="00AA2F4C" w:rsidRDefault="00AA2F4C" w:rsidP="00AA2F4C">
      <w:pPr>
        <w:jc w:val="both"/>
        <w:rPr>
          <w:rFonts w:ascii="Times New Roman" w:hAnsi="Times New Roman" w:cs="Times New Roman"/>
          <w:color w:val="000000" w:themeColor="text1"/>
          <w:sz w:val="24"/>
          <w:szCs w:val="24"/>
        </w:rPr>
      </w:pPr>
    </w:p>
    <w:p w14:paraId="79AE601C"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 Administração Indireta: Fundos – R$</w:t>
      </w:r>
    </w:p>
    <w:tbl>
      <w:tblPr>
        <w:tblStyle w:val="Tabelacomgrade"/>
        <w:tblW w:w="0" w:type="auto"/>
        <w:tblInd w:w="108" w:type="dxa"/>
        <w:tblLook w:val="04A0" w:firstRow="1" w:lastRow="0" w:firstColumn="1" w:lastColumn="0" w:noHBand="0" w:noVBand="1"/>
      </w:tblPr>
      <w:tblGrid>
        <w:gridCol w:w="5697"/>
        <w:gridCol w:w="2689"/>
      </w:tblGrid>
      <w:tr w:rsidR="00AA2F4C" w14:paraId="449F5222" w14:textId="77777777" w:rsidTr="009F77ED">
        <w:tc>
          <w:tcPr>
            <w:tcW w:w="5812" w:type="dxa"/>
          </w:tcPr>
          <w:p w14:paraId="31AA08DC" w14:textId="77777777" w:rsidR="00AA2F4C" w:rsidRPr="002C4EFA" w:rsidRDefault="00AA2F4C" w:rsidP="009F77ED">
            <w:pPr>
              <w:jc w:val="both"/>
              <w:rPr>
                <w:rFonts w:ascii="Times New Roman" w:hAnsi="Times New Roman" w:cs="Times New Roman"/>
                <w:b/>
                <w:color w:val="000000" w:themeColor="text1"/>
                <w:sz w:val="24"/>
                <w:szCs w:val="24"/>
              </w:rPr>
            </w:pPr>
            <w:r w:rsidRPr="002C4EFA">
              <w:rPr>
                <w:rFonts w:ascii="Times New Roman" w:hAnsi="Times New Roman" w:cs="Times New Roman"/>
                <w:b/>
                <w:color w:val="000000" w:themeColor="text1"/>
                <w:sz w:val="24"/>
                <w:szCs w:val="24"/>
              </w:rPr>
              <w:t>RECEITAS CORRENTES</w:t>
            </w:r>
          </w:p>
        </w:tc>
        <w:tc>
          <w:tcPr>
            <w:tcW w:w="2724" w:type="dxa"/>
          </w:tcPr>
          <w:p w14:paraId="6322AEF8" w14:textId="77777777" w:rsidR="00AA2F4C" w:rsidRPr="002C4EFA" w:rsidRDefault="00AA2F4C" w:rsidP="009F77ED">
            <w:pPr>
              <w:jc w:val="both"/>
              <w:rPr>
                <w:rFonts w:ascii="Times New Roman" w:hAnsi="Times New Roman" w:cs="Times New Roman"/>
                <w:b/>
                <w:color w:val="000000" w:themeColor="text1"/>
                <w:sz w:val="24"/>
                <w:szCs w:val="24"/>
              </w:rPr>
            </w:pPr>
            <w:r w:rsidRPr="002C4EFA">
              <w:rPr>
                <w:rFonts w:ascii="Times New Roman" w:hAnsi="Times New Roman" w:cs="Times New Roman"/>
                <w:b/>
                <w:color w:val="000000" w:themeColor="text1"/>
                <w:sz w:val="24"/>
                <w:szCs w:val="24"/>
              </w:rPr>
              <w:t>5.989.000,00</w:t>
            </w:r>
          </w:p>
        </w:tc>
      </w:tr>
      <w:tr w:rsidR="00AA2F4C" w14:paraId="2FD246C3" w14:textId="77777777" w:rsidTr="009F77ED">
        <w:tc>
          <w:tcPr>
            <w:tcW w:w="5812" w:type="dxa"/>
          </w:tcPr>
          <w:p w14:paraId="2F1ECDBA"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de Contribuições</w:t>
            </w:r>
          </w:p>
        </w:tc>
        <w:tc>
          <w:tcPr>
            <w:tcW w:w="2724" w:type="dxa"/>
          </w:tcPr>
          <w:p w14:paraId="4BC7173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4.126.000,00</w:t>
            </w:r>
          </w:p>
        </w:tc>
      </w:tr>
      <w:tr w:rsidR="00AA2F4C" w14:paraId="16CB527A" w14:textId="77777777" w:rsidTr="009F77ED">
        <w:tc>
          <w:tcPr>
            <w:tcW w:w="5812" w:type="dxa"/>
          </w:tcPr>
          <w:p w14:paraId="30F18001"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Receita Patrimonial</w:t>
            </w:r>
          </w:p>
        </w:tc>
        <w:tc>
          <w:tcPr>
            <w:tcW w:w="2724" w:type="dxa"/>
          </w:tcPr>
          <w:p w14:paraId="3BC8860C"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1.400.000,00</w:t>
            </w:r>
          </w:p>
        </w:tc>
      </w:tr>
      <w:tr w:rsidR="00AA2F4C" w14:paraId="201B83EF" w14:textId="77777777" w:rsidTr="009F77ED">
        <w:tc>
          <w:tcPr>
            <w:tcW w:w="5812" w:type="dxa"/>
          </w:tcPr>
          <w:p w14:paraId="1127DD2D"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Outras Receitas Correntes</w:t>
            </w:r>
          </w:p>
        </w:tc>
        <w:tc>
          <w:tcPr>
            <w:tcW w:w="2724" w:type="dxa"/>
          </w:tcPr>
          <w:p w14:paraId="415CCC6F"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463.000,00</w:t>
            </w:r>
          </w:p>
        </w:tc>
      </w:tr>
      <w:tr w:rsidR="00AA2F4C" w14:paraId="6DB96DAC" w14:textId="77777777" w:rsidTr="009F77ED">
        <w:tc>
          <w:tcPr>
            <w:tcW w:w="5812" w:type="dxa"/>
          </w:tcPr>
          <w:p w14:paraId="5AA137D9"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Total da Receita Líquida</w:t>
            </w:r>
          </w:p>
        </w:tc>
        <w:tc>
          <w:tcPr>
            <w:tcW w:w="2724" w:type="dxa"/>
          </w:tcPr>
          <w:p w14:paraId="75E8595E"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5.989.000,00</w:t>
            </w:r>
          </w:p>
        </w:tc>
      </w:tr>
    </w:tbl>
    <w:p w14:paraId="7DB14981" w14:textId="77777777" w:rsidR="00AA2F4C" w:rsidRDefault="00AA2F4C" w:rsidP="00AA2F4C">
      <w:pPr>
        <w:jc w:val="both"/>
        <w:rPr>
          <w:rFonts w:ascii="Times New Roman" w:hAnsi="Times New Roman" w:cs="Times New Roman"/>
          <w:color w:val="000000" w:themeColor="text1"/>
          <w:sz w:val="24"/>
          <w:szCs w:val="24"/>
        </w:rPr>
      </w:pPr>
    </w:p>
    <w:p w14:paraId="155DDAF8"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 Resumo da Receita – R$</w:t>
      </w:r>
    </w:p>
    <w:tbl>
      <w:tblPr>
        <w:tblStyle w:val="Tabelacomgrade"/>
        <w:tblW w:w="0" w:type="auto"/>
        <w:tblInd w:w="108" w:type="dxa"/>
        <w:tblLook w:val="04A0" w:firstRow="1" w:lastRow="0" w:firstColumn="1" w:lastColumn="0" w:noHBand="0" w:noVBand="1"/>
      </w:tblPr>
      <w:tblGrid>
        <w:gridCol w:w="5694"/>
        <w:gridCol w:w="2692"/>
      </w:tblGrid>
      <w:tr w:rsidR="00AA2F4C" w14:paraId="313CF242" w14:textId="77777777" w:rsidTr="009F77ED">
        <w:tc>
          <w:tcPr>
            <w:tcW w:w="5812" w:type="dxa"/>
          </w:tcPr>
          <w:p w14:paraId="4CA60E5F"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Administração Direta</w:t>
            </w:r>
          </w:p>
        </w:tc>
        <w:tc>
          <w:tcPr>
            <w:tcW w:w="2724" w:type="dxa"/>
          </w:tcPr>
          <w:p w14:paraId="198227C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64.428.000,00</w:t>
            </w:r>
          </w:p>
        </w:tc>
      </w:tr>
      <w:tr w:rsidR="00AA2F4C" w14:paraId="675F68AA" w14:textId="77777777" w:rsidTr="009F77ED">
        <w:tc>
          <w:tcPr>
            <w:tcW w:w="5812" w:type="dxa"/>
          </w:tcPr>
          <w:p w14:paraId="0A26963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Administração Indireta</w:t>
            </w:r>
          </w:p>
        </w:tc>
        <w:tc>
          <w:tcPr>
            <w:tcW w:w="2724" w:type="dxa"/>
          </w:tcPr>
          <w:p w14:paraId="055D4CF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5.989.000,00</w:t>
            </w:r>
          </w:p>
        </w:tc>
      </w:tr>
      <w:tr w:rsidR="00AA2F4C" w14:paraId="5191627B" w14:textId="77777777" w:rsidTr="009F77ED">
        <w:tc>
          <w:tcPr>
            <w:tcW w:w="5812" w:type="dxa"/>
          </w:tcPr>
          <w:p w14:paraId="523F2B08" w14:textId="77777777" w:rsidR="00AA2F4C" w:rsidRPr="004D2989" w:rsidRDefault="00AA2F4C" w:rsidP="009F77ED">
            <w:pPr>
              <w:jc w:val="both"/>
              <w:rPr>
                <w:rFonts w:ascii="Times New Roman" w:hAnsi="Times New Roman" w:cs="Times New Roman"/>
                <w:b/>
                <w:color w:val="000000" w:themeColor="text1"/>
                <w:sz w:val="24"/>
                <w:szCs w:val="24"/>
              </w:rPr>
            </w:pPr>
            <w:r w:rsidRPr="004D2989">
              <w:rPr>
                <w:rFonts w:ascii="Times New Roman" w:hAnsi="Times New Roman" w:cs="Times New Roman"/>
                <w:b/>
                <w:color w:val="000000" w:themeColor="text1"/>
                <w:sz w:val="24"/>
                <w:szCs w:val="24"/>
              </w:rPr>
              <w:t>TOTAL GERAL DA RECEITA</w:t>
            </w:r>
          </w:p>
        </w:tc>
        <w:tc>
          <w:tcPr>
            <w:tcW w:w="2724" w:type="dxa"/>
          </w:tcPr>
          <w:p w14:paraId="5C62B39D" w14:textId="77777777" w:rsidR="00AA2F4C" w:rsidRPr="004D2989" w:rsidRDefault="00AA2F4C" w:rsidP="009F77ED">
            <w:pPr>
              <w:jc w:val="both"/>
              <w:rPr>
                <w:rFonts w:ascii="Times New Roman" w:hAnsi="Times New Roman" w:cs="Times New Roman"/>
                <w:b/>
                <w:color w:val="000000" w:themeColor="text1"/>
                <w:sz w:val="24"/>
                <w:szCs w:val="24"/>
              </w:rPr>
            </w:pPr>
            <w:r w:rsidRPr="004D2989">
              <w:rPr>
                <w:rFonts w:ascii="Times New Roman" w:hAnsi="Times New Roman" w:cs="Times New Roman"/>
                <w:b/>
                <w:color w:val="000000" w:themeColor="text1"/>
                <w:sz w:val="24"/>
                <w:szCs w:val="24"/>
              </w:rPr>
              <w:t>70.417.000,00</w:t>
            </w:r>
          </w:p>
        </w:tc>
      </w:tr>
    </w:tbl>
    <w:p w14:paraId="517BD75C" w14:textId="77777777" w:rsidR="00AA2F4C" w:rsidRDefault="00AA2F4C" w:rsidP="00AA2F4C">
      <w:pPr>
        <w:jc w:val="both"/>
        <w:rPr>
          <w:rFonts w:ascii="Times New Roman" w:hAnsi="Times New Roman" w:cs="Times New Roman"/>
          <w:color w:val="000000" w:themeColor="text1"/>
          <w:sz w:val="24"/>
          <w:szCs w:val="24"/>
        </w:rPr>
      </w:pPr>
    </w:p>
    <w:p w14:paraId="1701B3A0"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Por sua vez, as despesas foram fixadas por órgãos da administração de acordo com o seguinte desdobramento:</w:t>
      </w:r>
    </w:p>
    <w:p w14:paraId="3754B460"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 Administração Direta – R$</w:t>
      </w:r>
    </w:p>
    <w:tbl>
      <w:tblPr>
        <w:tblStyle w:val="Tabelacomgrade"/>
        <w:tblW w:w="0" w:type="auto"/>
        <w:tblInd w:w="108" w:type="dxa"/>
        <w:tblLook w:val="04A0" w:firstRow="1" w:lastRow="0" w:firstColumn="1" w:lastColumn="0" w:noHBand="0" w:noVBand="1"/>
      </w:tblPr>
      <w:tblGrid>
        <w:gridCol w:w="5719"/>
        <w:gridCol w:w="2667"/>
      </w:tblGrid>
      <w:tr w:rsidR="00AA2F4C" w14:paraId="4CE176DB" w14:textId="77777777" w:rsidTr="009F77ED">
        <w:tc>
          <w:tcPr>
            <w:tcW w:w="5812" w:type="dxa"/>
          </w:tcPr>
          <w:p w14:paraId="4798AA01"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01 – PODER LEGISLATIVO</w:t>
            </w:r>
          </w:p>
          <w:p w14:paraId="46BECE1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0100 – Câmara Municipal</w:t>
            </w:r>
          </w:p>
        </w:tc>
        <w:tc>
          <w:tcPr>
            <w:tcW w:w="2693" w:type="dxa"/>
          </w:tcPr>
          <w:p w14:paraId="20F62200"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1.758.000,00</w:t>
            </w:r>
          </w:p>
          <w:p w14:paraId="1D833052"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1.758.000,00</w:t>
            </w:r>
          </w:p>
        </w:tc>
      </w:tr>
      <w:tr w:rsidR="00AA2F4C" w14:paraId="592597E2" w14:textId="77777777" w:rsidTr="009F77ED">
        <w:tc>
          <w:tcPr>
            <w:tcW w:w="5812" w:type="dxa"/>
          </w:tcPr>
          <w:p w14:paraId="00998AD3"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02 – PODER EXECUTIVO</w:t>
            </w:r>
          </w:p>
        </w:tc>
        <w:tc>
          <w:tcPr>
            <w:tcW w:w="2693" w:type="dxa"/>
          </w:tcPr>
          <w:p w14:paraId="1D6F7D46" w14:textId="77777777" w:rsidR="00AA2F4C" w:rsidRPr="0071396D" w:rsidRDefault="00AA2F4C" w:rsidP="009F77ED">
            <w:pPr>
              <w:jc w:val="both"/>
              <w:rPr>
                <w:rFonts w:ascii="Times New Roman" w:hAnsi="Times New Roman" w:cs="Times New Roman"/>
                <w:b/>
                <w:color w:val="000000" w:themeColor="text1"/>
                <w:sz w:val="24"/>
                <w:szCs w:val="24"/>
              </w:rPr>
            </w:pPr>
            <w:r w:rsidRPr="0071396D">
              <w:rPr>
                <w:rFonts w:ascii="Times New Roman" w:hAnsi="Times New Roman" w:cs="Times New Roman"/>
                <w:b/>
                <w:color w:val="000000" w:themeColor="text1"/>
                <w:sz w:val="24"/>
                <w:szCs w:val="24"/>
              </w:rPr>
              <w:t>62.670.000,00</w:t>
            </w:r>
          </w:p>
        </w:tc>
      </w:tr>
      <w:tr w:rsidR="00AA2F4C" w14:paraId="748BF5CE" w14:textId="77777777" w:rsidTr="009F77ED">
        <w:tc>
          <w:tcPr>
            <w:tcW w:w="5812" w:type="dxa"/>
          </w:tcPr>
          <w:p w14:paraId="124099F3"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0200 – Executivo Municipal</w:t>
            </w:r>
          </w:p>
        </w:tc>
        <w:tc>
          <w:tcPr>
            <w:tcW w:w="2693" w:type="dxa"/>
          </w:tcPr>
          <w:p w14:paraId="535EBD2B"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1.296.000,00</w:t>
            </w:r>
          </w:p>
        </w:tc>
      </w:tr>
      <w:tr w:rsidR="00AA2F4C" w14:paraId="3484D58E" w14:textId="77777777" w:rsidTr="009F77ED">
        <w:tc>
          <w:tcPr>
            <w:tcW w:w="5812" w:type="dxa"/>
          </w:tcPr>
          <w:p w14:paraId="3861E236"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0300 – Secretaria Municipal de Administração e Planejamento </w:t>
            </w:r>
          </w:p>
        </w:tc>
        <w:tc>
          <w:tcPr>
            <w:tcW w:w="2693" w:type="dxa"/>
          </w:tcPr>
          <w:p w14:paraId="1E300D8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5.444.000,00</w:t>
            </w:r>
          </w:p>
        </w:tc>
      </w:tr>
      <w:tr w:rsidR="00AA2F4C" w14:paraId="74E14A8C" w14:textId="77777777" w:rsidTr="009F77ED">
        <w:tc>
          <w:tcPr>
            <w:tcW w:w="5812" w:type="dxa"/>
          </w:tcPr>
          <w:p w14:paraId="670181AC"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0400 – Secretaria Municipal de Finanças</w:t>
            </w:r>
          </w:p>
        </w:tc>
        <w:tc>
          <w:tcPr>
            <w:tcW w:w="2693" w:type="dxa"/>
          </w:tcPr>
          <w:p w14:paraId="3FD8A290"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2.617.000,00</w:t>
            </w:r>
          </w:p>
        </w:tc>
      </w:tr>
      <w:tr w:rsidR="00AA2F4C" w14:paraId="54A6E298" w14:textId="77777777" w:rsidTr="009F77ED">
        <w:tc>
          <w:tcPr>
            <w:tcW w:w="5812" w:type="dxa"/>
          </w:tcPr>
          <w:p w14:paraId="01F5CDB5"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0500 – Secretaria Municipal de Agropecuária e Meio Ambiente</w:t>
            </w:r>
          </w:p>
        </w:tc>
        <w:tc>
          <w:tcPr>
            <w:tcW w:w="2693" w:type="dxa"/>
          </w:tcPr>
          <w:p w14:paraId="4DE13B25"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2.944.000,00</w:t>
            </w:r>
          </w:p>
        </w:tc>
      </w:tr>
      <w:tr w:rsidR="00AA2F4C" w14:paraId="5F00742B" w14:textId="77777777" w:rsidTr="009F77ED">
        <w:tc>
          <w:tcPr>
            <w:tcW w:w="5812" w:type="dxa"/>
          </w:tcPr>
          <w:p w14:paraId="214FBE22"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0600 – Secretaria Municipal de Educação, Cultura e Esporte</w:t>
            </w:r>
          </w:p>
        </w:tc>
        <w:tc>
          <w:tcPr>
            <w:tcW w:w="2693" w:type="dxa"/>
          </w:tcPr>
          <w:p w14:paraId="0B3DDAD2"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17.613.000,00</w:t>
            </w:r>
          </w:p>
        </w:tc>
      </w:tr>
      <w:tr w:rsidR="00AA2F4C" w14:paraId="4D1DDD0E" w14:textId="77777777" w:rsidTr="009F77ED">
        <w:tc>
          <w:tcPr>
            <w:tcW w:w="5812" w:type="dxa"/>
          </w:tcPr>
          <w:p w14:paraId="2F757335"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0700 – Secretaria Municipal de Obras, Viação e Urbanismo</w:t>
            </w:r>
          </w:p>
        </w:tc>
        <w:tc>
          <w:tcPr>
            <w:tcW w:w="2693" w:type="dxa"/>
          </w:tcPr>
          <w:p w14:paraId="47D18D13"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8.898.000,00</w:t>
            </w:r>
          </w:p>
        </w:tc>
      </w:tr>
      <w:tr w:rsidR="00AA2F4C" w14:paraId="671BDE91" w14:textId="77777777" w:rsidTr="009F77ED">
        <w:tc>
          <w:tcPr>
            <w:tcW w:w="5812" w:type="dxa"/>
          </w:tcPr>
          <w:p w14:paraId="0DB6430C"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0800 – Secretaria Municipal de Saúde</w:t>
            </w:r>
          </w:p>
        </w:tc>
        <w:tc>
          <w:tcPr>
            <w:tcW w:w="2693" w:type="dxa"/>
          </w:tcPr>
          <w:p w14:paraId="2436D87C"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18.173.000,00</w:t>
            </w:r>
          </w:p>
        </w:tc>
      </w:tr>
      <w:tr w:rsidR="00AA2F4C" w14:paraId="291C4F87" w14:textId="77777777" w:rsidTr="009F77ED">
        <w:tc>
          <w:tcPr>
            <w:tcW w:w="5812" w:type="dxa"/>
          </w:tcPr>
          <w:p w14:paraId="3336527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 – Secretaria Municipal de Assistência Social</w:t>
            </w:r>
          </w:p>
        </w:tc>
        <w:tc>
          <w:tcPr>
            <w:tcW w:w="2693" w:type="dxa"/>
          </w:tcPr>
          <w:p w14:paraId="4607823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4.132.000,00</w:t>
            </w:r>
          </w:p>
        </w:tc>
      </w:tr>
      <w:tr w:rsidR="00AA2F4C" w14:paraId="6314B344" w14:textId="77777777" w:rsidTr="009F77ED">
        <w:tc>
          <w:tcPr>
            <w:tcW w:w="5812" w:type="dxa"/>
          </w:tcPr>
          <w:p w14:paraId="3E23C110"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1100 – Secretaria Municipal de Industria, Comércio, Serviços e Turismo</w:t>
            </w:r>
          </w:p>
        </w:tc>
        <w:tc>
          <w:tcPr>
            <w:tcW w:w="2693" w:type="dxa"/>
          </w:tcPr>
          <w:p w14:paraId="7CB2668A"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1.553.000,00</w:t>
            </w:r>
          </w:p>
        </w:tc>
      </w:tr>
      <w:tr w:rsidR="00AA2F4C" w14:paraId="09150488" w14:textId="77777777" w:rsidTr="009F77ED">
        <w:tc>
          <w:tcPr>
            <w:tcW w:w="5812" w:type="dxa"/>
          </w:tcPr>
          <w:p w14:paraId="2C2E30B7" w14:textId="77777777" w:rsidR="00AA2F4C" w:rsidRPr="00AD4FA6" w:rsidRDefault="00AA2F4C" w:rsidP="009F77ED">
            <w:pPr>
              <w:jc w:val="both"/>
              <w:rPr>
                <w:rFonts w:ascii="Times New Roman" w:hAnsi="Times New Roman" w:cs="Times New Roman"/>
                <w:b/>
                <w:color w:val="000000" w:themeColor="text1"/>
                <w:sz w:val="24"/>
                <w:szCs w:val="24"/>
              </w:rPr>
            </w:pPr>
            <w:r w:rsidRPr="00AD4FA6">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otal da Despesa</w:t>
            </w:r>
          </w:p>
        </w:tc>
        <w:tc>
          <w:tcPr>
            <w:tcW w:w="2693" w:type="dxa"/>
          </w:tcPr>
          <w:p w14:paraId="030F9D5F" w14:textId="77777777" w:rsidR="00AA2F4C" w:rsidRPr="00AD4FA6" w:rsidRDefault="00AA2F4C" w:rsidP="009F77ED">
            <w:pPr>
              <w:jc w:val="both"/>
              <w:rPr>
                <w:rFonts w:ascii="Times New Roman" w:hAnsi="Times New Roman" w:cs="Times New Roman"/>
                <w:b/>
                <w:color w:val="000000" w:themeColor="text1"/>
                <w:sz w:val="24"/>
                <w:szCs w:val="24"/>
              </w:rPr>
            </w:pPr>
            <w:r w:rsidRPr="00AD4FA6">
              <w:rPr>
                <w:rFonts w:ascii="Times New Roman" w:hAnsi="Times New Roman" w:cs="Times New Roman"/>
                <w:b/>
                <w:color w:val="000000" w:themeColor="text1"/>
                <w:sz w:val="24"/>
                <w:szCs w:val="24"/>
              </w:rPr>
              <w:t>64.428.000,00</w:t>
            </w:r>
          </w:p>
        </w:tc>
      </w:tr>
    </w:tbl>
    <w:p w14:paraId="065B7FAC" w14:textId="77777777" w:rsidR="00AA2F4C" w:rsidRDefault="00AA2F4C" w:rsidP="00AA2F4C">
      <w:pPr>
        <w:jc w:val="both"/>
        <w:rPr>
          <w:rFonts w:ascii="Times New Roman" w:hAnsi="Times New Roman" w:cs="Times New Roman"/>
          <w:color w:val="000000" w:themeColor="text1"/>
          <w:sz w:val="24"/>
          <w:szCs w:val="24"/>
        </w:rPr>
      </w:pPr>
    </w:p>
    <w:p w14:paraId="7F3D9EAC"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 Administração Indireta: Fundos – R$</w:t>
      </w:r>
    </w:p>
    <w:tbl>
      <w:tblPr>
        <w:tblStyle w:val="Tabelacomgrade"/>
        <w:tblW w:w="0" w:type="auto"/>
        <w:tblInd w:w="108" w:type="dxa"/>
        <w:tblLook w:val="04A0" w:firstRow="1" w:lastRow="0" w:firstColumn="1" w:lastColumn="0" w:noHBand="0" w:noVBand="1"/>
      </w:tblPr>
      <w:tblGrid>
        <w:gridCol w:w="5698"/>
        <w:gridCol w:w="2688"/>
      </w:tblGrid>
      <w:tr w:rsidR="00AA2F4C" w14:paraId="5735831A" w14:textId="77777777" w:rsidTr="009F77ED">
        <w:tc>
          <w:tcPr>
            <w:tcW w:w="5812" w:type="dxa"/>
          </w:tcPr>
          <w:p w14:paraId="79FD1C14" w14:textId="77777777" w:rsidR="00AA2F4C" w:rsidRPr="00AD4FA6" w:rsidRDefault="00AA2F4C" w:rsidP="009F77ED">
            <w:pPr>
              <w:jc w:val="both"/>
              <w:rPr>
                <w:rFonts w:ascii="Times New Roman" w:hAnsi="Times New Roman" w:cs="Times New Roman"/>
                <w:b/>
                <w:color w:val="000000" w:themeColor="text1"/>
                <w:sz w:val="24"/>
                <w:szCs w:val="24"/>
              </w:rPr>
            </w:pPr>
            <w:r w:rsidRPr="00AD4FA6">
              <w:rPr>
                <w:rFonts w:ascii="Times New Roman" w:hAnsi="Times New Roman" w:cs="Times New Roman"/>
                <w:b/>
                <w:color w:val="000000" w:themeColor="text1"/>
                <w:sz w:val="24"/>
                <w:szCs w:val="24"/>
              </w:rPr>
              <w:t>01 – Fundo de Aposentadorias e Pensões</w:t>
            </w:r>
          </w:p>
        </w:tc>
        <w:tc>
          <w:tcPr>
            <w:tcW w:w="2724" w:type="dxa"/>
          </w:tcPr>
          <w:p w14:paraId="7E2B1E47" w14:textId="77777777" w:rsidR="00AA2F4C" w:rsidRPr="00AD4FA6" w:rsidRDefault="00AA2F4C" w:rsidP="009F77ED">
            <w:pPr>
              <w:jc w:val="both"/>
              <w:rPr>
                <w:rFonts w:ascii="Times New Roman" w:hAnsi="Times New Roman" w:cs="Times New Roman"/>
                <w:b/>
                <w:color w:val="000000" w:themeColor="text1"/>
                <w:sz w:val="24"/>
                <w:szCs w:val="24"/>
              </w:rPr>
            </w:pPr>
            <w:r w:rsidRPr="00AD4FA6">
              <w:rPr>
                <w:rFonts w:ascii="Times New Roman" w:hAnsi="Times New Roman" w:cs="Times New Roman"/>
                <w:b/>
                <w:color w:val="000000" w:themeColor="text1"/>
                <w:sz w:val="24"/>
                <w:szCs w:val="24"/>
              </w:rPr>
              <w:t>5.989.000,00</w:t>
            </w:r>
          </w:p>
        </w:tc>
      </w:tr>
      <w:tr w:rsidR="00AA2F4C" w14:paraId="4E0EBCD1" w14:textId="77777777" w:rsidTr="009F77ED">
        <w:tc>
          <w:tcPr>
            <w:tcW w:w="5812" w:type="dxa"/>
          </w:tcPr>
          <w:p w14:paraId="3AF35948"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0900 – Fundo de Aposentadoria e Pensões</w:t>
            </w:r>
          </w:p>
        </w:tc>
        <w:tc>
          <w:tcPr>
            <w:tcW w:w="2724" w:type="dxa"/>
          </w:tcPr>
          <w:p w14:paraId="24B4FB05"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5.989.000,00</w:t>
            </w:r>
          </w:p>
        </w:tc>
      </w:tr>
      <w:tr w:rsidR="00AA2F4C" w14:paraId="2298E6D9" w14:textId="77777777" w:rsidTr="009F77ED">
        <w:tc>
          <w:tcPr>
            <w:tcW w:w="5812" w:type="dxa"/>
          </w:tcPr>
          <w:p w14:paraId="266E7B23" w14:textId="77777777" w:rsidR="00AA2F4C" w:rsidRPr="00A8603F" w:rsidRDefault="00AA2F4C" w:rsidP="009F77ED">
            <w:pPr>
              <w:jc w:val="both"/>
              <w:rPr>
                <w:rFonts w:ascii="Times New Roman" w:hAnsi="Times New Roman" w:cs="Times New Roman"/>
                <w:b/>
                <w:color w:val="000000" w:themeColor="text1"/>
                <w:sz w:val="24"/>
                <w:szCs w:val="24"/>
              </w:rPr>
            </w:pPr>
            <w:r w:rsidRPr="00A8603F">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otal da Despesa</w:t>
            </w:r>
          </w:p>
        </w:tc>
        <w:tc>
          <w:tcPr>
            <w:tcW w:w="2724" w:type="dxa"/>
          </w:tcPr>
          <w:p w14:paraId="7776C60D" w14:textId="77777777" w:rsidR="00AA2F4C" w:rsidRPr="00A8603F" w:rsidRDefault="00AA2F4C" w:rsidP="009F77ED">
            <w:pPr>
              <w:jc w:val="both"/>
              <w:rPr>
                <w:rFonts w:ascii="Times New Roman" w:hAnsi="Times New Roman" w:cs="Times New Roman"/>
                <w:b/>
                <w:color w:val="000000" w:themeColor="text1"/>
                <w:sz w:val="24"/>
                <w:szCs w:val="24"/>
              </w:rPr>
            </w:pPr>
            <w:r w:rsidRPr="00A8603F">
              <w:rPr>
                <w:rFonts w:ascii="Times New Roman" w:hAnsi="Times New Roman" w:cs="Times New Roman"/>
                <w:b/>
                <w:color w:val="000000" w:themeColor="text1"/>
                <w:sz w:val="24"/>
                <w:szCs w:val="24"/>
              </w:rPr>
              <w:t>5.989.000,00</w:t>
            </w:r>
          </w:p>
        </w:tc>
      </w:tr>
    </w:tbl>
    <w:p w14:paraId="5EDCCBB3" w14:textId="77777777" w:rsidR="00AA2F4C" w:rsidRDefault="00AA2F4C" w:rsidP="00AA2F4C">
      <w:pPr>
        <w:jc w:val="both"/>
        <w:rPr>
          <w:rFonts w:ascii="Times New Roman" w:hAnsi="Times New Roman" w:cs="Times New Roman"/>
          <w:color w:val="000000" w:themeColor="text1"/>
          <w:sz w:val="24"/>
          <w:szCs w:val="24"/>
        </w:rPr>
      </w:pPr>
    </w:p>
    <w:p w14:paraId="577F8D0F" w14:textId="77777777" w:rsidR="00AA2F4C" w:rsidRDefault="00AA2F4C" w:rsidP="00AA2F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 Resumo da Despesa – R$</w:t>
      </w:r>
    </w:p>
    <w:tbl>
      <w:tblPr>
        <w:tblStyle w:val="Tabelacomgrade"/>
        <w:tblW w:w="0" w:type="auto"/>
        <w:tblInd w:w="108" w:type="dxa"/>
        <w:tblLook w:val="04A0" w:firstRow="1" w:lastRow="0" w:firstColumn="1" w:lastColumn="0" w:noHBand="0" w:noVBand="1"/>
      </w:tblPr>
      <w:tblGrid>
        <w:gridCol w:w="5694"/>
        <w:gridCol w:w="2692"/>
      </w:tblGrid>
      <w:tr w:rsidR="00AA2F4C" w14:paraId="1CF890C4" w14:textId="77777777" w:rsidTr="009F77ED">
        <w:tc>
          <w:tcPr>
            <w:tcW w:w="5812" w:type="dxa"/>
          </w:tcPr>
          <w:p w14:paraId="53535C07"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Administração Direta</w:t>
            </w:r>
          </w:p>
        </w:tc>
        <w:tc>
          <w:tcPr>
            <w:tcW w:w="2724" w:type="dxa"/>
          </w:tcPr>
          <w:p w14:paraId="3FFE61BE"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64.428.000,00</w:t>
            </w:r>
          </w:p>
        </w:tc>
      </w:tr>
      <w:tr w:rsidR="00AA2F4C" w14:paraId="2E27755A" w14:textId="77777777" w:rsidTr="009F77ED">
        <w:tc>
          <w:tcPr>
            <w:tcW w:w="5812" w:type="dxa"/>
          </w:tcPr>
          <w:p w14:paraId="06D66169"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Administração Indireta</w:t>
            </w:r>
          </w:p>
        </w:tc>
        <w:tc>
          <w:tcPr>
            <w:tcW w:w="2724" w:type="dxa"/>
          </w:tcPr>
          <w:p w14:paraId="6963A114" w14:textId="77777777" w:rsidR="00AA2F4C" w:rsidRDefault="00AA2F4C" w:rsidP="009F77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5.989.000,00</w:t>
            </w:r>
          </w:p>
        </w:tc>
      </w:tr>
      <w:tr w:rsidR="00AA2F4C" w14:paraId="13C6A6AF" w14:textId="77777777" w:rsidTr="009F77ED">
        <w:tc>
          <w:tcPr>
            <w:tcW w:w="5812" w:type="dxa"/>
          </w:tcPr>
          <w:p w14:paraId="3ACDC58D" w14:textId="77777777" w:rsidR="00AA2F4C" w:rsidRPr="00A8603F" w:rsidRDefault="00AA2F4C" w:rsidP="009F77ED">
            <w:pPr>
              <w:jc w:val="both"/>
              <w:rPr>
                <w:rFonts w:ascii="Times New Roman" w:hAnsi="Times New Roman" w:cs="Times New Roman"/>
                <w:b/>
                <w:color w:val="000000" w:themeColor="text1"/>
                <w:sz w:val="24"/>
                <w:szCs w:val="24"/>
              </w:rPr>
            </w:pPr>
            <w:r w:rsidRPr="00A8603F">
              <w:rPr>
                <w:rFonts w:ascii="Times New Roman" w:hAnsi="Times New Roman" w:cs="Times New Roman"/>
                <w:b/>
                <w:color w:val="000000" w:themeColor="text1"/>
                <w:sz w:val="24"/>
                <w:szCs w:val="24"/>
              </w:rPr>
              <w:t>TOTAL GERAL DA DESPESA</w:t>
            </w:r>
          </w:p>
        </w:tc>
        <w:tc>
          <w:tcPr>
            <w:tcW w:w="2724" w:type="dxa"/>
          </w:tcPr>
          <w:p w14:paraId="0320937C" w14:textId="77777777" w:rsidR="00AA2F4C" w:rsidRPr="00A8603F" w:rsidRDefault="00AA2F4C" w:rsidP="009F77ED">
            <w:pPr>
              <w:jc w:val="both"/>
              <w:rPr>
                <w:rFonts w:ascii="Times New Roman" w:hAnsi="Times New Roman" w:cs="Times New Roman"/>
                <w:b/>
                <w:color w:val="000000" w:themeColor="text1"/>
                <w:sz w:val="24"/>
                <w:szCs w:val="24"/>
              </w:rPr>
            </w:pPr>
            <w:r w:rsidRPr="00A8603F">
              <w:rPr>
                <w:rFonts w:ascii="Times New Roman" w:hAnsi="Times New Roman" w:cs="Times New Roman"/>
                <w:b/>
                <w:color w:val="000000" w:themeColor="text1"/>
                <w:sz w:val="24"/>
                <w:szCs w:val="24"/>
              </w:rPr>
              <w:t>70.417.000,00</w:t>
            </w:r>
          </w:p>
        </w:tc>
      </w:tr>
    </w:tbl>
    <w:p w14:paraId="46F5489D" w14:textId="77777777" w:rsidR="00AA2F4C" w:rsidRDefault="00AA2F4C" w:rsidP="00AA2F4C">
      <w:pPr>
        <w:jc w:val="both"/>
        <w:rPr>
          <w:rFonts w:ascii="Times New Roman" w:hAnsi="Times New Roman" w:cs="Times New Roman"/>
          <w:color w:val="000000" w:themeColor="text1"/>
          <w:sz w:val="24"/>
          <w:szCs w:val="24"/>
        </w:rPr>
      </w:pPr>
    </w:p>
    <w:p w14:paraId="4AEF92FD" w14:textId="77777777" w:rsidR="00AA2F4C" w:rsidRPr="00D8638E" w:rsidRDefault="00AA2F4C" w:rsidP="00AA2F4C">
      <w:pPr>
        <w:jc w:val="both"/>
        <w:rPr>
          <w:rFonts w:ascii="Times New Roman" w:hAnsi="Times New Roman" w:cs="Times New Roman"/>
          <w:sz w:val="24"/>
          <w:szCs w:val="24"/>
        </w:rPr>
      </w:pPr>
      <w:r w:rsidRPr="003C24D3">
        <w:rPr>
          <w:rFonts w:ascii="Times New Roman" w:hAnsi="Times New Roman" w:cs="Times New Roman"/>
          <w:sz w:val="24"/>
          <w:szCs w:val="24"/>
        </w:rPr>
        <w:t xml:space="preserve">Os dados demonstram a participação de cada órgão ou secretaria no total das despesas, facilitando a visualização das prioridades orçamentárias estabelecidas pelo Poder Executivo para o exercício de 2025, com destaque para áreas de Educação e Saúde. Ainda, verifica-se que a Lei Orçamentária foi elaborada com base nas diretrizes apontadas pelo Plano Plurianual (PPA) e pela Lei de Diretrizes Orçamentárias (LDO), matérias estas já aprovadas por esta Casa de Leis, seguindo as regras e instruções emitidas pelo Tribunal de Contas do Paraná. </w:t>
      </w:r>
      <w:r w:rsidRPr="00CB0554">
        <w:rPr>
          <w:rFonts w:ascii="Times New Roman" w:hAnsi="Times New Roman" w:cs="Times New Roman"/>
          <w:b/>
          <w:sz w:val="24"/>
          <w:szCs w:val="24"/>
        </w:rPr>
        <w:t xml:space="preserve">Da </w:t>
      </w:r>
      <w:r w:rsidRPr="00CB0554">
        <w:rPr>
          <w:rFonts w:ascii="Times New Roman" w:hAnsi="Times New Roman" w:cs="Times New Roman"/>
          <w:b/>
          <w:bCs/>
          <w:sz w:val="24"/>
          <w:szCs w:val="24"/>
        </w:rPr>
        <w:t xml:space="preserve">Compatibilidade do Projeto de Lei com a Recomendação </w:t>
      </w:r>
      <w:r>
        <w:rPr>
          <w:rFonts w:ascii="Times New Roman" w:hAnsi="Times New Roman" w:cs="Times New Roman"/>
          <w:b/>
          <w:bCs/>
          <w:sz w:val="24"/>
          <w:szCs w:val="24"/>
        </w:rPr>
        <w:t>do Ministério Público de Contas</w:t>
      </w:r>
      <w:r w:rsidRPr="00CB0554">
        <w:rPr>
          <w:rFonts w:ascii="Times New Roman" w:hAnsi="Times New Roman" w:cs="Times New Roman"/>
          <w:b/>
          <w:bCs/>
          <w:sz w:val="24"/>
          <w:szCs w:val="24"/>
        </w:rPr>
        <w:t>.</w:t>
      </w:r>
      <w:r>
        <w:rPr>
          <w:rFonts w:ascii="Times New Roman" w:hAnsi="Times New Roman" w:cs="Times New Roman"/>
          <w:sz w:val="24"/>
          <w:szCs w:val="24"/>
        </w:rPr>
        <w:t xml:space="preserve"> </w:t>
      </w:r>
      <w:r w:rsidRPr="003C24D3">
        <w:rPr>
          <w:rFonts w:ascii="Times New Roman" w:hAnsi="Times New Roman" w:cs="Times New Roman"/>
          <w:sz w:val="24"/>
          <w:szCs w:val="24"/>
        </w:rPr>
        <w:t xml:space="preserve">Por seu turno, </w:t>
      </w:r>
      <w:r w:rsidRPr="003C24D3">
        <w:rPr>
          <w:rFonts w:ascii="Times New Roman" w:hAnsi="Times New Roman" w:cs="Times New Roman"/>
          <w:color w:val="000000" w:themeColor="text1"/>
          <w:sz w:val="24"/>
          <w:szCs w:val="24"/>
        </w:rPr>
        <w:t xml:space="preserve">seguindo a Recomendação Administrativa </w:t>
      </w:r>
      <w:r w:rsidRPr="003C24D3">
        <w:rPr>
          <w:rFonts w:ascii="Times New Roman" w:hAnsi="Times New Roman" w:cs="Times New Roman"/>
          <w:color w:val="000000" w:themeColor="text1"/>
          <w:sz w:val="24"/>
          <w:szCs w:val="24"/>
        </w:rPr>
        <w:lastRenderedPageBreak/>
        <w:t>n.º 001/2024-GPGMPC do Ministério Público de Contas do Estado do Paraná</w:t>
      </w:r>
      <w:r>
        <w:rPr>
          <w:rFonts w:ascii="Times New Roman" w:hAnsi="Times New Roman" w:cs="Times New Roman"/>
          <w:color w:val="000000" w:themeColor="text1"/>
          <w:sz w:val="24"/>
          <w:szCs w:val="24"/>
        </w:rPr>
        <w:t>, que foi endereçada a esta Casa de Leis</w:t>
      </w:r>
      <w:r w:rsidRPr="003C24D3">
        <w:rPr>
          <w:rFonts w:ascii="Times New Roman" w:hAnsi="Times New Roman" w:cs="Times New Roman"/>
          <w:color w:val="000000" w:themeColor="text1"/>
          <w:sz w:val="24"/>
          <w:szCs w:val="24"/>
        </w:rPr>
        <w:t xml:space="preserve">, a Comissão de Finanças e Orçamento </w:t>
      </w:r>
      <w:r>
        <w:rPr>
          <w:rFonts w:ascii="Times New Roman" w:hAnsi="Times New Roman" w:cs="Times New Roman"/>
          <w:color w:val="000000" w:themeColor="text1"/>
          <w:sz w:val="24"/>
          <w:szCs w:val="24"/>
        </w:rPr>
        <w:t xml:space="preserve">encaminhou </w:t>
      </w:r>
      <w:r w:rsidRPr="003C24D3">
        <w:rPr>
          <w:rFonts w:ascii="Times New Roman" w:hAnsi="Times New Roman" w:cs="Times New Roman"/>
          <w:color w:val="000000" w:themeColor="text1"/>
          <w:sz w:val="24"/>
          <w:szCs w:val="24"/>
        </w:rPr>
        <w:t>o Ofício n.º 002/2024, de 29 de outubro de 2024</w:t>
      </w:r>
      <w:r>
        <w:rPr>
          <w:rFonts w:ascii="Times New Roman" w:hAnsi="Times New Roman" w:cs="Times New Roman"/>
          <w:color w:val="000000" w:themeColor="text1"/>
          <w:sz w:val="24"/>
          <w:szCs w:val="24"/>
        </w:rPr>
        <w:t>,</w:t>
      </w:r>
      <w:r w:rsidRPr="003C24D3">
        <w:rPr>
          <w:rFonts w:ascii="Times New Roman" w:hAnsi="Times New Roman" w:cs="Times New Roman"/>
          <w:color w:val="000000" w:themeColor="text1"/>
          <w:sz w:val="24"/>
          <w:szCs w:val="24"/>
        </w:rPr>
        <w:t xml:space="preserve"> ao Executivo Municipal</w:t>
      </w:r>
      <w:r>
        <w:rPr>
          <w:rFonts w:ascii="Times New Roman" w:hAnsi="Times New Roman" w:cs="Times New Roman"/>
          <w:color w:val="000000" w:themeColor="text1"/>
          <w:sz w:val="24"/>
          <w:szCs w:val="24"/>
        </w:rPr>
        <w:t>,</w:t>
      </w:r>
      <w:r w:rsidRPr="003C24D3">
        <w:rPr>
          <w:rFonts w:ascii="Times New Roman" w:hAnsi="Times New Roman" w:cs="Times New Roman"/>
          <w:color w:val="000000" w:themeColor="text1"/>
          <w:sz w:val="24"/>
          <w:szCs w:val="24"/>
        </w:rPr>
        <w:t xml:space="preserve"> solicitando a relação integral de precatórios de regime geral, contendo ordem cronológica, número de processo e os valores respectivos, bem como informasse se houve adequada previsão orçamentária para fazer frente aos precatórios e às obrigações de pequeno valor. Em resposta, através do Ofício n.º 177/2024, o Chefe do Poder Executivo informou que existe apenas um precatório </w:t>
      </w:r>
      <w:r>
        <w:rPr>
          <w:rFonts w:ascii="Times New Roman" w:hAnsi="Times New Roman" w:cs="Times New Roman"/>
          <w:color w:val="000000" w:themeColor="text1"/>
          <w:sz w:val="24"/>
          <w:szCs w:val="24"/>
        </w:rPr>
        <w:t xml:space="preserve">(ação judicial) </w:t>
      </w:r>
      <w:r w:rsidRPr="003C24D3">
        <w:rPr>
          <w:rFonts w:ascii="Times New Roman" w:hAnsi="Times New Roman" w:cs="Times New Roman"/>
          <w:color w:val="000000" w:themeColor="text1"/>
          <w:sz w:val="24"/>
          <w:szCs w:val="24"/>
        </w:rPr>
        <w:t>junto ao TRT-PR de origem alimentar, com indicação do número do processo</w:t>
      </w:r>
      <w:r>
        <w:rPr>
          <w:rFonts w:ascii="Times New Roman" w:hAnsi="Times New Roman" w:cs="Times New Roman"/>
          <w:color w:val="000000" w:themeColor="text1"/>
          <w:sz w:val="24"/>
          <w:szCs w:val="24"/>
        </w:rPr>
        <w:t xml:space="preserve"> e</w:t>
      </w:r>
      <w:r w:rsidRPr="003C24D3">
        <w:rPr>
          <w:rFonts w:ascii="Times New Roman" w:hAnsi="Times New Roman" w:cs="Times New Roman"/>
          <w:color w:val="000000" w:themeColor="text1"/>
          <w:sz w:val="24"/>
          <w:szCs w:val="24"/>
        </w:rPr>
        <w:t xml:space="preserve"> no valor de R$ 43.443,09, conforme lista consolidada e demais documentos anexos. Destacou o Prefeito Municipal</w:t>
      </w:r>
      <w:r>
        <w:rPr>
          <w:rFonts w:ascii="Times New Roman" w:hAnsi="Times New Roman" w:cs="Times New Roman"/>
          <w:color w:val="000000" w:themeColor="text1"/>
          <w:sz w:val="24"/>
          <w:szCs w:val="24"/>
        </w:rPr>
        <w:t xml:space="preserve">, ainda, </w:t>
      </w:r>
      <w:r w:rsidRPr="003C24D3">
        <w:rPr>
          <w:rFonts w:ascii="Times New Roman" w:hAnsi="Times New Roman" w:cs="Times New Roman"/>
          <w:color w:val="000000" w:themeColor="text1"/>
          <w:sz w:val="24"/>
          <w:szCs w:val="24"/>
        </w:rPr>
        <w:t>que para suprir a demanda o Município efetuou a previsão junto ao PPA, LDO e LOA para 2025 na Ação Orçamentária 0.001 – Encargos Especiais, com as seguintes rubricas orçamentárias e valores: 319091.00 – Sentenças Judiciais – R$ 130.000,00 e R$ 339091.00 – Sentença Judicias – R$ 85.000,00. O montante totaliza o valor de R$ 215.000,00 (duzentos e quinze mil reais), cujo valor é suficiente para integral cumprimento do precatório existente contra o Município e eventuais obrigações de pequeno valor que possam surgir no exercício de 2025.</w:t>
      </w:r>
      <w:r w:rsidRPr="003C24D3">
        <w:rPr>
          <w:rFonts w:ascii="Times New Roman" w:hAnsi="Times New Roman" w:cs="Times New Roman"/>
          <w:sz w:val="24"/>
          <w:szCs w:val="24"/>
        </w:rPr>
        <w:t xml:space="preserve"> Em complementação as informações fornecidas pelo Prefeito Municipal, fo</w:t>
      </w:r>
      <w:r>
        <w:rPr>
          <w:rFonts w:ascii="Times New Roman" w:hAnsi="Times New Roman" w:cs="Times New Roman"/>
          <w:sz w:val="24"/>
          <w:szCs w:val="24"/>
        </w:rPr>
        <w:t xml:space="preserve">ram verificadas </w:t>
      </w:r>
      <w:r w:rsidRPr="003C24D3">
        <w:rPr>
          <w:rFonts w:ascii="Times New Roman" w:hAnsi="Times New Roman" w:cs="Times New Roman"/>
          <w:sz w:val="24"/>
          <w:szCs w:val="24"/>
        </w:rPr>
        <w:t xml:space="preserve">junto ao endereço eletrônico </w:t>
      </w:r>
      <w:hyperlink r:id="rId6" w:history="1">
        <w:r w:rsidRPr="003C24D3">
          <w:rPr>
            <w:rStyle w:val="Hyperlink"/>
            <w:rFonts w:ascii="Times New Roman" w:hAnsi="Times New Roman" w:cs="Times New Roman"/>
            <w:color w:val="000000" w:themeColor="text1"/>
            <w:sz w:val="24"/>
            <w:szCs w:val="24"/>
          </w:rPr>
          <w:t>https://www.tjpr.jus.br/precatoiros</w:t>
        </w:r>
      </w:hyperlink>
      <w:r w:rsidRPr="003C24D3">
        <w:rPr>
          <w:rFonts w:ascii="Times New Roman" w:hAnsi="Times New Roman" w:cs="Times New Roman"/>
          <w:sz w:val="24"/>
          <w:szCs w:val="24"/>
        </w:rPr>
        <w:t xml:space="preserve"> a inexistência de precatórios em face do Município de Renascença, estando o mesmo regular quanto ao pagamento de precatórios, conforme certidão emitida em 19.11.2024 com validade até 31/12/2024. Após análise, conclui-se que o valor total de </w:t>
      </w:r>
      <w:r w:rsidRPr="003C24D3">
        <w:rPr>
          <w:rFonts w:ascii="Times New Roman" w:hAnsi="Times New Roman" w:cs="Times New Roman"/>
          <w:color w:val="000000" w:themeColor="text1"/>
          <w:sz w:val="24"/>
          <w:szCs w:val="24"/>
        </w:rPr>
        <w:t xml:space="preserve">R$ 215.000,00 (duzentos e quinze mil reais) </w:t>
      </w:r>
      <w:r w:rsidRPr="003C24D3">
        <w:rPr>
          <w:rFonts w:ascii="Times New Roman" w:hAnsi="Times New Roman" w:cs="Times New Roman"/>
          <w:sz w:val="24"/>
          <w:szCs w:val="24"/>
        </w:rPr>
        <w:t xml:space="preserve">é suficiente para cobrir as despesas com o precatório e </w:t>
      </w:r>
      <w:r>
        <w:rPr>
          <w:rFonts w:ascii="Times New Roman" w:hAnsi="Times New Roman" w:cs="Times New Roman"/>
          <w:sz w:val="24"/>
          <w:szCs w:val="24"/>
        </w:rPr>
        <w:t>as eventuais obrigações</w:t>
      </w:r>
      <w:r w:rsidRPr="003C24D3">
        <w:rPr>
          <w:rFonts w:ascii="Times New Roman" w:hAnsi="Times New Roman" w:cs="Times New Roman"/>
          <w:sz w:val="24"/>
          <w:szCs w:val="24"/>
        </w:rPr>
        <w:t xml:space="preserve"> de pequeno valor</w:t>
      </w:r>
      <w:r>
        <w:rPr>
          <w:rFonts w:ascii="Times New Roman" w:hAnsi="Times New Roman" w:cs="Times New Roman"/>
          <w:sz w:val="24"/>
          <w:szCs w:val="24"/>
        </w:rPr>
        <w:t xml:space="preserve"> objeto de RPV – Requisição de Pequeno Valor</w:t>
      </w:r>
      <w:r w:rsidRPr="003C24D3">
        <w:rPr>
          <w:rFonts w:ascii="Times New Roman" w:hAnsi="Times New Roman" w:cs="Times New Roman"/>
          <w:sz w:val="24"/>
          <w:szCs w:val="24"/>
        </w:rPr>
        <w:t xml:space="preserve">, de modo que a proposta orçamentária atende integralmente à Recomendação Administrativa nº 001/2024-GPGMPC do Ministério Público de Contas. </w:t>
      </w:r>
      <w:r w:rsidRPr="00D8638E">
        <w:rPr>
          <w:rFonts w:ascii="Times New Roman" w:hAnsi="Times New Roman" w:cs="Times New Roman"/>
          <w:b/>
          <w:sz w:val="24"/>
          <w:szCs w:val="24"/>
        </w:rPr>
        <w:t>Das e</w:t>
      </w:r>
      <w:r w:rsidRPr="003C24D3">
        <w:rPr>
          <w:rFonts w:ascii="Times New Roman" w:hAnsi="Times New Roman" w:cs="Times New Roman"/>
          <w:b/>
          <w:color w:val="000000" w:themeColor="text1"/>
          <w:sz w:val="24"/>
          <w:szCs w:val="24"/>
        </w:rPr>
        <w:t>mendas</w:t>
      </w:r>
      <w:r>
        <w:rPr>
          <w:rFonts w:ascii="Times New Roman" w:hAnsi="Times New Roman" w:cs="Times New Roman"/>
          <w:b/>
          <w:color w:val="000000" w:themeColor="text1"/>
          <w:sz w:val="24"/>
          <w:szCs w:val="24"/>
        </w:rPr>
        <w:t xml:space="preserve"> ao Projeto de Lei </w:t>
      </w:r>
      <w:r w:rsidRPr="00D8638E">
        <w:rPr>
          <w:rFonts w:ascii="Times New Roman" w:hAnsi="Times New Roman" w:cs="Times New Roman"/>
          <w:b/>
          <w:color w:val="000000" w:themeColor="text1"/>
          <w:sz w:val="24"/>
          <w:szCs w:val="24"/>
        </w:rPr>
        <w:t>n.º 037/2024, de 11 de outubro de 2024</w:t>
      </w:r>
      <w:r w:rsidRPr="003C24D3">
        <w:rPr>
          <w:rFonts w:ascii="Times New Roman" w:hAnsi="Times New Roman" w:cs="Times New Roman"/>
          <w:b/>
          <w:color w:val="000000" w:themeColor="text1"/>
          <w:sz w:val="24"/>
          <w:szCs w:val="24"/>
        </w:rPr>
        <w:t xml:space="preserve">. </w:t>
      </w:r>
      <w:r w:rsidRPr="00D52CEF">
        <w:rPr>
          <w:rFonts w:ascii="Times New Roman" w:hAnsi="Times New Roman" w:cs="Times New Roman"/>
          <w:color w:val="000000" w:themeColor="text1"/>
          <w:sz w:val="24"/>
          <w:szCs w:val="24"/>
        </w:rPr>
        <w:t>Seguindo,</w:t>
      </w:r>
      <w:r w:rsidRPr="003C24D3">
        <w:rPr>
          <w:rFonts w:ascii="Times New Roman" w:hAnsi="Times New Roman" w:cs="Times New Roman"/>
          <w:color w:val="000000" w:themeColor="text1"/>
          <w:sz w:val="24"/>
          <w:szCs w:val="24"/>
        </w:rPr>
        <w:t xml:space="preserve"> ao Projeto da Lei Orçamentária Anual de 2025, no prazo regimental, foram apresentadas emendas </w:t>
      </w:r>
      <w:r>
        <w:rPr>
          <w:rFonts w:ascii="Times New Roman" w:hAnsi="Times New Roman" w:cs="Times New Roman"/>
          <w:color w:val="000000" w:themeColor="text1"/>
          <w:sz w:val="24"/>
          <w:szCs w:val="24"/>
        </w:rPr>
        <w:t xml:space="preserve">impositivas </w:t>
      </w:r>
      <w:r w:rsidRPr="003C24D3">
        <w:rPr>
          <w:rFonts w:ascii="Times New Roman" w:hAnsi="Times New Roman" w:cs="Times New Roman"/>
          <w:color w:val="000000" w:themeColor="text1"/>
          <w:sz w:val="24"/>
          <w:szCs w:val="24"/>
        </w:rPr>
        <w:t xml:space="preserve">individuais e de bancadas. O valor e o cálculo das emendas impositivas foram elaborados pela Contadoria do Poder Executivo, tendo por base a receita corrente líquida do exercício anterior, conforme determina a Constituição Federal e a Lei Orgânica. As Emendas Impositivas de Bancadas </w:t>
      </w:r>
      <w:proofErr w:type="spellStart"/>
      <w:r w:rsidRPr="003C24D3">
        <w:rPr>
          <w:rFonts w:ascii="Times New Roman" w:hAnsi="Times New Roman" w:cs="Times New Roman"/>
          <w:color w:val="000000" w:themeColor="text1"/>
          <w:sz w:val="24"/>
          <w:szCs w:val="24"/>
        </w:rPr>
        <w:t>ns.º</w:t>
      </w:r>
      <w:proofErr w:type="spellEnd"/>
      <w:r w:rsidRPr="003C24D3">
        <w:rPr>
          <w:rFonts w:ascii="Times New Roman" w:hAnsi="Times New Roman" w:cs="Times New Roman"/>
          <w:color w:val="000000" w:themeColor="text1"/>
          <w:sz w:val="24"/>
          <w:szCs w:val="24"/>
        </w:rPr>
        <w:t xml:space="preserve"> 001/2024, 002/2024, 003/2024, 004/2024 e 005/2024, foram apresentadas pelo PODEMOS, PSDB, UNIÃO, PDT e PL, respectivamente. Por sua vez, as Emendas Impositivas Individuais </w:t>
      </w:r>
      <w:proofErr w:type="spellStart"/>
      <w:r w:rsidRPr="003C24D3">
        <w:rPr>
          <w:rFonts w:ascii="Times New Roman" w:hAnsi="Times New Roman" w:cs="Times New Roman"/>
          <w:color w:val="000000" w:themeColor="text1"/>
          <w:sz w:val="24"/>
          <w:szCs w:val="24"/>
        </w:rPr>
        <w:t>ns.º</w:t>
      </w:r>
      <w:proofErr w:type="spellEnd"/>
      <w:r w:rsidRPr="003C24D3">
        <w:rPr>
          <w:rFonts w:ascii="Times New Roman" w:hAnsi="Times New Roman" w:cs="Times New Roman"/>
          <w:color w:val="000000" w:themeColor="text1"/>
          <w:sz w:val="24"/>
          <w:szCs w:val="24"/>
        </w:rPr>
        <w:t xml:space="preserve"> 001/2024, 002/2024, 003/2024, 004/2024, 005/2024, 006/2024, 007/2024, 008/2024 e 009/2024, foram apresentadas pelos Vereadores (as) Adão </w:t>
      </w:r>
      <w:proofErr w:type="spellStart"/>
      <w:r w:rsidRPr="003C24D3">
        <w:rPr>
          <w:rFonts w:ascii="Times New Roman" w:hAnsi="Times New Roman" w:cs="Times New Roman"/>
          <w:color w:val="000000" w:themeColor="text1"/>
          <w:sz w:val="24"/>
          <w:szCs w:val="24"/>
        </w:rPr>
        <w:t>Pedriz</w:t>
      </w:r>
      <w:proofErr w:type="spellEnd"/>
      <w:r w:rsidRPr="003C24D3">
        <w:rPr>
          <w:rFonts w:ascii="Times New Roman" w:hAnsi="Times New Roman" w:cs="Times New Roman"/>
          <w:color w:val="000000" w:themeColor="text1"/>
          <w:sz w:val="24"/>
          <w:szCs w:val="24"/>
        </w:rPr>
        <w:t xml:space="preserve"> de Oliveira, Vanderson Rodrigo Zanini, Gilmar Schmidt, Marcos Antônio </w:t>
      </w:r>
      <w:proofErr w:type="spellStart"/>
      <w:r w:rsidRPr="003C24D3">
        <w:rPr>
          <w:rFonts w:ascii="Times New Roman" w:hAnsi="Times New Roman" w:cs="Times New Roman"/>
          <w:color w:val="000000" w:themeColor="text1"/>
          <w:sz w:val="24"/>
          <w:szCs w:val="24"/>
        </w:rPr>
        <w:t>Valandro</w:t>
      </w:r>
      <w:proofErr w:type="spellEnd"/>
      <w:r w:rsidRPr="003C24D3">
        <w:rPr>
          <w:rFonts w:ascii="Times New Roman" w:hAnsi="Times New Roman" w:cs="Times New Roman"/>
          <w:color w:val="000000" w:themeColor="text1"/>
          <w:sz w:val="24"/>
          <w:szCs w:val="24"/>
        </w:rPr>
        <w:t xml:space="preserve">, </w:t>
      </w:r>
      <w:r w:rsidRPr="00034B70">
        <w:rPr>
          <w:rFonts w:ascii="Times New Roman" w:hAnsi="Times New Roman" w:cs="Times New Roman"/>
          <w:color w:val="000000" w:themeColor="text1"/>
          <w:sz w:val="24"/>
          <w:szCs w:val="24"/>
        </w:rPr>
        <w:t xml:space="preserve">Jonas Maria de Oliveira, Miria Beatriz Cozer Manfredi, Everson Antônio Tedesco, </w:t>
      </w:r>
      <w:proofErr w:type="spellStart"/>
      <w:r w:rsidRPr="00034B70">
        <w:rPr>
          <w:rFonts w:ascii="Times New Roman" w:hAnsi="Times New Roman" w:cs="Times New Roman"/>
          <w:color w:val="000000" w:themeColor="text1"/>
          <w:sz w:val="24"/>
          <w:szCs w:val="24"/>
        </w:rPr>
        <w:t>Fabieli</w:t>
      </w:r>
      <w:proofErr w:type="spellEnd"/>
      <w:r w:rsidRPr="00034B70">
        <w:rPr>
          <w:rFonts w:ascii="Times New Roman" w:hAnsi="Times New Roman" w:cs="Times New Roman"/>
          <w:color w:val="000000" w:themeColor="text1"/>
          <w:sz w:val="24"/>
          <w:szCs w:val="24"/>
        </w:rPr>
        <w:t xml:space="preserve"> Manfredi e Luiz Carlos de Souza Vieira Lopes.  Após análise das emendas, foi verificado não existir nenhum impedimento à tramitação, guardando elas pertinência temática com a matéria em exame e com os demais instrumentos de planejamento municipal, em especial com a Lei de Diretrizes Orçamentárias de 2025 e o Plano Plurianual para o quadriênio de 2022 a 2025. Além disso, as emendas impositivas estão </w:t>
      </w:r>
      <w:r w:rsidRPr="00034B70">
        <w:rPr>
          <w:rFonts w:ascii="Times New Roman" w:hAnsi="Times New Roman" w:cs="Times New Roman"/>
          <w:sz w:val="24"/>
          <w:szCs w:val="24"/>
        </w:rPr>
        <w:t xml:space="preserve">em conformidade com as normas e precedentes </w:t>
      </w:r>
      <w:r w:rsidRPr="00034B70">
        <w:rPr>
          <w:rFonts w:ascii="Times New Roman" w:hAnsi="Times New Roman" w:cs="Times New Roman"/>
          <w:sz w:val="24"/>
          <w:szCs w:val="24"/>
        </w:rPr>
        <w:lastRenderedPageBreak/>
        <w:t xml:space="preserve">regimentais, com o artigo 149 da Lei Orgânica Municipal com redação dada pelas Emendas à Lei Orgânica Municipal n.º 007, de 20 de abril de 2022 e 008, de 21 de junho de 2023, e com a Emenda Constitucional n.º 86, de 17 de março de 2015, Emenda Constitucional n.º 100, de 26 de junho de 2019 e Emenda Constitucional n.º 126, de 21 de dezembro de 2022. Assim, tomando por base as exigências constantes da Constituição Federal, da Lei n.º 4.320, de 1964, da Lei de Responsabilidade Fiscal (Lei Complementar n.º 101/2000) e a Recomendação Administrativa do Ministério Público de Contas </w:t>
      </w:r>
      <w:r w:rsidRPr="00034B70">
        <w:rPr>
          <w:rFonts w:ascii="Times New Roman" w:hAnsi="Times New Roman" w:cs="Times New Roman"/>
          <w:color w:val="000000" w:themeColor="text1"/>
          <w:sz w:val="24"/>
          <w:szCs w:val="24"/>
        </w:rPr>
        <w:t>n.º 001/2024-GPGMPC</w:t>
      </w:r>
      <w:r w:rsidRPr="00034B70">
        <w:rPr>
          <w:rFonts w:ascii="Times New Roman" w:hAnsi="Times New Roman" w:cs="Times New Roman"/>
          <w:sz w:val="24"/>
          <w:szCs w:val="24"/>
        </w:rPr>
        <w:t xml:space="preserve">, decidimos pela constitucionalidade, legalidade e boa técnica legislativa e adequação financeira e orçamentária do Projeto de Lei n.º </w:t>
      </w:r>
      <w:r w:rsidRPr="00034B70">
        <w:rPr>
          <w:rFonts w:ascii="Times New Roman" w:hAnsi="Times New Roman" w:cs="Times New Roman"/>
          <w:color w:val="000000" w:themeColor="text1"/>
          <w:sz w:val="24"/>
          <w:szCs w:val="24"/>
        </w:rPr>
        <w:t xml:space="preserve">037/2024, de 11 de outubro de 2024 e das emendas. </w:t>
      </w:r>
      <w:r w:rsidRPr="00034B70">
        <w:rPr>
          <w:rFonts w:ascii="Times New Roman" w:hAnsi="Times New Roman" w:cs="Times New Roman"/>
          <w:b/>
          <w:sz w:val="24"/>
          <w:szCs w:val="24"/>
        </w:rPr>
        <w:t>Decisão das Comissões:</w:t>
      </w:r>
      <w:r w:rsidRPr="00034B70">
        <w:rPr>
          <w:rFonts w:ascii="Times New Roman" w:hAnsi="Times New Roman" w:cs="Times New Roman"/>
          <w:sz w:val="24"/>
          <w:szCs w:val="24"/>
        </w:rPr>
        <w:t xml:space="preserve"> Diante do exposto, opinam as Comissões Permanentes </w:t>
      </w:r>
      <w:r w:rsidRPr="00E970DA">
        <w:rPr>
          <w:rFonts w:ascii="Times New Roman" w:hAnsi="Times New Roman" w:cs="Times New Roman"/>
          <w:color w:val="000000" w:themeColor="text1"/>
          <w:sz w:val="24"/>
          <w:szCs w:val="24"/>
        </w:rPr>
        <w:t>de Justiça, Redação e Pareceres e de Finanças e Orçamento</w:t>
      </w:r>
      <w:r w:rsidRPr="00034B70">
        <w:rPr>
          <w:rFonts w:ascii="Times New Roman" w:hAnsi="Times New Roman" w:cs="Times New Roman"/>
          <w:sz w:val="24"/>
          <w:szCs w:val="24"/>
        </w:rPr>
        <w:t xml:space="preserve"> favoravelmente à tramitação e aprovação do Projeto de </w:t>
      </w:r>
      <w:r w:rsidRPr="00034B70">
        <w:rPr>
          <w:rFonts w:ascii="Times New Roman" w:hAnsi="Times New Roman" w:cs="Times New Roman"/>
          <w:color w:val="000000" w:themeColor="text1"/>
          <w:sz w:val="24"/>
          <w:szCs w:val="24"/>
        </w:rPr>
        <w:t>Lei n.º 037/2024, de 11 de outubro de 2024 e de todas as emendas apresentadas ao referido projeto, podendo as proposições seguir à deliberação do Plenário.</w:t>
      </w:r>
      <w:r w:rsidRPr="003C24D3">
        <w:rPr>
          <w:rFonts w:ascii="Times New Roman" w:hAnsi="Times New Roman" w:cs="Times New Roman"/>
          <w:color w:val="000000" w:themeColor="text1"/>
          <w:sz w:val="24"/>
          <w:szCs w:val="24"/>
        </w:rPr>
        <w:t xml:space="preserve"> </w:t>
      </w:r>
    </w:p>
    <w:p w14:paraId="7121328C" w14:textId="77777777" w:rsidR="00314B63" w:rsidRDefault="00314B63" w:rsidP="00250431">
      <w:pPr>
        <w:jc w:val="both"/>
        <w:rPr>
          <w:rFonts w:ascii="Times New Roman" w:hAnsi="Times New Roman" w:cs="Times New Roman"/>
          <w:color w:val="000000" w:themeColor="text1"/>
        </w:rPr>
      </w:pPr>
    </w:p>
    <w:p w14:paraId="2081D827" w14:textId="77777777" w:rsidR="00314B63" w:rsidRPr="00314B63" w:rsidRDefault="00314B63" w:rsidP="00250431">
      <w:pPr>
        <w:jc w:val="both"/>
        <w:rPr>
          <w:rFonts w:ascii="Times New Roman" w:hAnsi="Times New Roman" w:cs="Times New Roman"/>
        </w:rPr>
      </w:pPr>
    </w:p>
    <w:p w14:paraId="19B979A8" w14:textId="77777777" w:rsidR="00314B63" w:rsidRPr="009D5124" w:rsidRDefault="00314B63" w:rsidP="00314B63">
      <w:pPr>
        <w:jc w:val="center"/>
        <w:rPr>
          <w:rFonts w:ascii="Times New Roman" w:hAnsi="Times New Roman" w:cs="Times New Roman"/>
          <w:shd w:val="clear" w:color="auto" w:fill="FFFFFF"/>
        </w:rPr>
      </w:pPr>
      <w:r w:rsidRPr="009D5124">
        <w:rPr>
          <w:rFonts w:ascii="Times New Roman" w:hAnsi="Times New Roman" w:cs="Times New Roman"/>
          <w:shd w:val="clear" w:color="auto" w:fill="FFFFFF"/>
        </w:rPr>
        <w:t>______________________________            ______________________________</w:t>
      </w:r>
    </w:p>
    <w:p w14:paraId="7B7CD534" w14:textId="77777777" w:rsidR="00314B63" w:rsidRPr="009D5124" w:rsidRDefault="00314B63" w:rsidP="00314B63">
      <w:pPr>
        <w:jc w:val="center"/>
        <w:rPr>
          <w:rFonts w:ascii="Times New Roman" w:hAnsi="Times New Roman" w:cs="Times New Roman"/>
          <w:shd w:val="clear" w:color="auto" w:fill="FFFFFF"/>
        </w:rPr>
      </w:pPr>
      <w:r w:rsidRPr="009D5124">
        <w:rPr>
          <w:rFonts w:ascii="Times New Roman" w:hAnsi="Times New Roman" w:cs="Times New Roman"/>
          <w:shd w:val="clear" w:color="auto" w:fill="FFFFFF"/>
        </w:rPr>
        <w:t>Vanderson R. Zanini                                       Gilmar Schmidt</w:t>
      </w:r>
    </w:p>
    <w:p w14:paraId="7F0C2E6A" w14:textId="77777777" w:rsidR="00314B63" w:rsidRPr="009D5124" w:rsidRDefault="00314B63" w:rsidP="00314B63">
      <w:pPr>
        <w:jc w:val="center"/>
        <w:rPr>
          <w:rFonts w:ascii="Times New Roman" w:hAnsi="Times New Roman" w:cs="Times New Roman"/>
          <w:color w:val="FF0000"/>
          <w:shd w:val="clear" w:color="auto" w:fill="FFFFFF"/>
        </w:rPr>
      </w:pPr>
    </w:p>
    <w:p w14:paraId="115D8289" w14:textId="77777777" w:rsidR="00314B63" w:rsidRPr="009D5124" w:rsidRDefault="00314B63" w:rsidP="00314B63">
      <w:pPr>
        <w:jc w:val="center"/>
        <w:rPr>
          <w:rFonts w:ascii="Times New Roman" w:hAnsi="Times New Roman" w:cs="Times New Roman"/>
          <w:shd w:val="clear" w:color="auto" w:fill="FFFFFF"/>
        </w:rPr>
      </w:pPr>
      <w:r w:rsidRPr="009D5124">
        <w:rPr>
          <w:rFonts w:ascii="Times New Roman" w:hAnsi="Times New Roman" w:cs="Times New Roman"/>
          <w:shd w:val="clear" w:color="auto" w:fill="FFFFFF"/>
        </w:rPr>
        <w:t>______________________________</w:t>
      </w:r>
    </w:p>
    <w:p w14:paraId="4B657625" w14:textId="77777777" w:rsidR="00314B63" w:rsidRPr="009D5124" w:rsidRDefault="00314B63" w:rsidP="00314B63">
      <w:pPr>
        <w:jc w:val="center"/>
        <w:rPr>
          <w:rFonts w:ascii="Times New Roman" w:hAnsi="Times New Roman" w:cs="Times New Roman"/>
          <w:shd w:val="clear" w:color="auto" w:fill="FFFFFF"/>
        </w:rPr>
      </w:pPr>
      <w:proofErr w:type="spellStart"/>
      <w:r w:rsidRPr="009D5124">
        <w:rPr>
          <w:rFonts w:ascii="Times New Roman" w:hAnsi="Times New Roman" w:cs="Times New Roman"/>
          <w:shd w:val="clear" w:color="auto" w:fill="FFFFFF"/>
        </w:rPr>
        <w:t>Fabieli</w:t>
      </w:r>
      <w:proofErr w:type="spellEnd"/>
      <w:r w:rsidRPr="009D5124">
        <w:rPr>
          <w:rFonts w:ascii="Times New Roman" w:hAnsi="Times New Roman" w:cs="Times New Roman"/>
          <w:shd w:val="clear" w:color="auto" w:fill="FFFFFF"/>
        </w:rPr>
        <w:t xml:space="preserve"> Manfredi</w:t>
      </w:r>
    </w:p>
    <w:p w14:paraId="0E724203" w14:textId="77777777" w:rsidR="00314B63" w:rsidRPr="009D5124" w:rsidRDefault="00314B63" w:rsidP="00314B63">
      <w:pPr>
        <w:jc w:val="center"/>
        <w:rPr>
          <w:rFonts w:ascii="Times New Roman" w:hAnsi="Times New Roman" w:cs="Times New Roman"/>
          <w:shd w:val="clear" w:color="auto" w:fill="FFFFFF"/>
        </w:rPr>
      </w:pPr>
    </w:p>
    <w:p w14:paraId="505B1507" w14:textId="77777777" w:rsidR="00314B63" w:rsidRPr="009D5124" w:rsidRDefault="00314B63" w:rsidP="00314B63">
      <w:pPr>
        <w:jc w:val="center"/>
        <w:rPr>
          <w:rFonts w:ascii="Times New Roman" w:hAnsi="Times New Roman" w:cs="Times New Roman"/>
          <w:shd w:val="clear" w:color="auto" w:fill="FFFFFF"/>
        </w:rPr>
      </w:pPr>
    </w:p>
    <w:p w14:paraId="51428043" w14:textId="77777777" w:rsidR="00314B63" w:rsidRPr="009D5124" w:rsidRDefault="00314B63" w:rsidP="00314B63">
      <w:pPr>
        <w:jc w:val="center"/>
        <w:rPr>
          <w:rFonts w:ascii="Times New Roman" w:hAnsi="Times New Roman" w:cs="Times New Roman"/>
          <w:shd w:val="clear" w:color="auto" w:fill="FFFFFF"/>
        </w:rPr>
      </w:pPr>
      <w:r w:rsidRPr="009D5124">
        <w:rPr>
          <w:rFonts w:ascii="Times New Roman" w:hAnsi="Times New Roman" w:cs="Times New Roman"/>
          <w:shd w:val="clear" w:color="auto" w:fill="FFFFFF"/>
        </w:rPr>
        <w:t>______________________________            ______________________________</w:t>
      </w:r>
    </w:p>
    <w:p w14:paraId="7F3F788E" w14:textId="77777777" w:rsidR="00314B63" w:rsidRPr="009D5124" w:rsidRDefault="00314B63" w:rsidP="00314B63">
      <w:pPr>
        <w:jc w:val="center"/>
        <w:rPr>
          <w:rFonts w:ascii="Times New Roman" w:hAnsi="Times New Roman" w:cs="Times New Roman"/>
          <w:shd w:val="clear" w:color="auto" w:fill="FFFFFF"/>
        </w:rPr>
      </w:pPr>
      <w:r w:rsidRPr="009D5124">
        <w:rPr>
          <w:rFonts w:ascii="Times New Roman" w:hAnsi="Times New Roman" w:cs="Times New Roman"/>
          <w:shd w:val="clear" w:color="auto" w:fill="FFFFFF"/>
        </w:rPr>
        <w:t xml:space="preserve">Marcos A. </w:t>
      </w:r>
      <w:proofErr w:type="spellStart"/>
      <w:r w:rsidRPr="009D5124">
        <w:rPr>
          <w:rFonts w:ascii="Times New Roman" w:hAnsi="Times New Roman" w:cs="Times New Roman"/>
          <w:shd w:val="clear" w:color="auto" w:fill="FFFFFF"/>
        </w:rPr>
        <w:t>Valandro</w:t>
      </w:r>
      <w:proofErr w:type="spellEnd"/>
      <w:r w:rsidRPr="009D5124">
        <w:rPr>
          <w:rFonts w:ascii="Times New Roman" w:hAnsi="Times New Roman" w:cs="Times New Roman"/>
          <w:shd w:val="clear" w:color="auto" w:fill="FFFFFF"/>
        </w:rPr>
        <w:t xml:space="preserve">                                      Jonas M. de Oliveira</w:t>
      </w:r>
    </w:p>
    <w:p w14:paraId="4100E735" w14:textId="77777777" w:rsidR="00314B63" w:rsidRDefault="00314B63" w:rsidP="00314B63">
      <w:pPr>
        <w:jc w:val="center"/>
        <w:rPr>
          <w:rFonts w:ascii="Times New Roman" w:hAnsi="Times New Roman" w:cs="Times New Roman"/>
          <w:shd w:val="clear" w:color="auto" w:fill="FFFFFF"/>
        </w:rPr>
      </w:pPr>
    </w:p>
    <w:p w14:paraId="3FF69430" w14:textId="77777777" w:rsidR="00314B63" w:rsidRPr="009D5124" w:rsidRDefault="00314B63" w:rsidP="00314B63">
      <w:pPr>
        <w:jc w:val="center"/>
        <w:rPr>
          <w:rFonts w:ascii="Times New Roman" w:hAnsi="Times New Roman" w:cs="Times New Roman"/>
          <w:shd w:val="clear" w:color="auto" w:fill="FFFFFF"/>
        </w:rPr>
      </w:pPr>
    </w:p>
    <w:p w14:paraId="5AB2AD66" w14:textId="77777777" w:rsidR="00314B63" w:rsidRPr="009D5124" w:rsidRDefault="00314B63" w:rsidP="00314B63">
      <w:pPr>
        <w:jc w:val="center"/>
        <w:rPr>
          <w:rFonts w:ascii="Times New Roman" w:hAnsi="Times New Roman" w:cs="Times New Roman"/>
          <w:shd w:val="clear" w:color="auto" w:fill="FFFFFF"/>
        </w:rPr>
      </w:pPr>
      <w:r w:rsidRPr="009D5124">
        <w:rPr>
          <w:rFonts w:ascii="Times New Roman" w:hAnsi="Times New Roman" w:cs="Times New Roman"/>
          <w:shd w:val="clear" w:color="auto" w:fill="FFFFFF"/>
        </w:rPr>
        <w:t>______________________________</w:t>
      </w:r>
    </w:p>
    <w:p w14:paraId="65C386AD" w14:textId="067825B4" w:rsidR="004C1E70" w:rsidRPr="00314B63" w:rsidRDefault="00314B63" w:rsidP="00A25E22">
      <w:pPr>
        <w:jc w:val="center"/>
        <w:rPr>
          <w:rFonts w:ascii="Times New Roman" w:hAnsi="Times New Roman" w:cs="Times New Roman"/>
          <w:b/>
          <w:spacing w:val="-1"/>
        </w:rPr>
      </w:pPr>
      <w:r w:rsidRPr="009D5124">
        <w:rPr>
          <w:rFonts w:ascii="Times New Roman" w:hAnsi="Times New Roman" w:cs="Times New Roman"/>
          <w:shd w:val="clear" w:color="auto" w:fill="FFFFFF"/>
        </w:rPr>
        <w:t>Everson A. Tedesco</w:t>
      </w:r>
    </w:p>
    <w:p w14:paraId="74A30F24" w14:textId="77777777" w:rsidR="004C1E70" w:rsidRPr="00314B63" w:rsidRDefault="004C1E70" w:rsidP="001F43C4">
      <w:pPr>
        <w:jc w:val="both"/>
        <w:rPr>
          <w:rFonts w:ascii="Times New Roman" w:hAnsi="Times New Roman" w:cs="Times New Roman"/>
          <w:b/>
          <w:spacing w:val="-1"/>
        </w:rPr>
      </w:pPr>
    </w:p>
    <w:p w14:paraId="2E88C999" w14:textId="77777777" w:rsidR="004C1E70" w:rsidRPr="00314B63" w:rsidRDefault="004C1E70" w:rsidP="001F43C4">
      <w:pPr>
        <w:jc w:val="both"/>
        <w:rPr>
          <w:rFonts w:ascii="Times New Roman" w:hAnsi="Times New Roman" w:cs="Times New Roman"/>
          <w:b/>
          <w:spacing w:val="-1"/>
        </w:rPr>
      </w:pPr>
    </w:p>
    <w:p w14:paraId="3EC552B5" w14:textId="77777777" w:rsidR="004C1E70" w:rsidRPr="00314B63" w:rsidRDefault="004C1E70" w:rsidP="001F43C4">
      <w:pPr>
        <w:jc w:val="both"/>
        <w:rPr>
          <w:rFonts w:ascii="Times New Roman" w:hAnsi="Times New Roman" w:cs="Times New Roman"/>
          <w:b/>
          <w:spacing w:val="-1"/>
        </w:rPr>
      </w:pPr>
    </w:p>
    <w:sectPr w:rsidR="004C1E70" w:rsidRPr="00314B6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8493" w14:textId="77777777" w:rsidR="00562BD7" w:rsidRDefault="00562BD7" w:rsidP="00A25E22">
      <w:pPr>
        <w:spacing w:after="0" w:line="240" w:lineRule="auto"/>
      </w:pPr>
      <w:r>
        <w:separator/>
      </w:r>
    </w:p>
  </w:endnote>
  <w:endnote w:type="continuationSeparator" w:id="0">
    <w:p w14:paraId="2E4677E9" w14:textId="77777777" w:rsidR="00562BD7" w:rsidRDefault="00562BD7" w:rsidP="00A2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F1B9" w14:textId="77777777" w:rsidR="00562BD7" w:rsidRDefault="00562BD7" w:rsidP="00A25E22">
      <w:pPr>
        <w:spacing w:after="0" w:line="240" w:lineRule="auto"/>
      </w:pPr>
      <w:r>
        <w:separator/>
      </w:r>
    </w:p>
  </w:footnote>
  <w:footnote w:type="continuationSeparator" w:id="0">
    <w:p w14:paraId="56A4DE82" w14:textId="77777777" w:rsidR="00562BD7" w:rsidRDefault="00562BD7" w:rsidP="00A2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8642" w14:textId="48180D20" w:rsidR="00A25E22" w:rsidRDefault="00A25E22">
    <w:pPr>
      <w:pStyle w:val="Cabealho"/>
    </w:pPr>
    <w:r>
      <w:rPr>
        <w:noProof/>
      </w:rPr>
      <w:drawing>
        <wp:inline distT="0" distB="0" distL="0" distR="0" wp14:anchorId="5DBC6B80" wp14:editId="24D1B10F">
          <wp:extent cx="5400040" cy="856615"/>
          <wp:effectExtent l="0" t="0" r="0" b="635"/>
          <wp:docPr id="20915133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13380" name="Imagem 2091513380"/>
                  <pic:cNvPicPr/>
                </pic:nvPicPr>
                <pic:blipFill>
                  <a:blip r:embed="rId1">
                    <a:extLst>
                      <a:ext uri="{28A0092B-C50C-407E-A947-70E740481C1C}">
                        <a14:useLocalDpi xmlns:a14="http://schemas.microsoft.com/office/drawing/2010/main" val="0"/>
                      </a:ext>
                    </a:extLst>
                  </a:blip>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A0"/>
    <w:rsid w:val="000428AE"/>
    <w:rsid w:val="0008397A"/>
    <w:rsid w:val="00086448"/>
    <w:rsid w:val="000B7543"/>
    <w:rsid w:val="000E039C"/>
    <w:rsid w:val="00110FAF"/>
    <w:rsid w:val="001F43C4"/>
    <w:rsid w:val="002000B5"/>
    <w:rsid w:val="00250431"/>
    <w:rsid w:val="00314B63"/>
    <w:rsid w:val="003916F6"/>
    <w:rsid w:val="003B7B5C"/>
    <w:rsid w:val="003C7FC5"/>
    <w:rsid w:val="004C1E70"/>
    <w:rsid w:val="00535751"/>
    <w:rsid w:val="00562BD7"/>
    <w:rsid w:val="005A6A93"/>
    <w:rsid w:val="005C3208"/>
    <w:rsid w:val="005D2A92"/>
    <w:rsid w:val="005F4AB5"/>
    <w:rsid w:val="006C4862"/>
    <w:rsid w:val="006D742C"/>
    <w:rsid w:val="0071642A"/>
    <w:rsid w:val="0072177A"/>
    <w:rsid w:val="007266B0"/>
    <w:rsid w:val="00734014"/>
    <w:rsid w:val="00737D99"/>
    <w:rsid w:val="0074534A"/>
    <w:rsid w:val="007C7F30"/>
    <w:rsid w:val="00845C53"/>
    <w:rsid w:val="009358B1"/>
    <w:rsid w:val="009D3E84"/>
    <w:rsid w:val="009E44E4"/>
    <w:rsid w:val="00A25E22"/>
    <w:rsid w:val="00A44ABE"/>
    <w:rsid w:val="00AA2F4C"/>
    <w:rsid w:val="00AB443C"/>
    <w:rsid w:val="00AB7FA0"/>
    <w:rsid w:val="00AF6DC7"/>
    <w:rsid w:val="00B1023E"/>
    <w:rsid w:val="00B2514C"/>
    <w:rsid w:val="00B52978"/>
    <w:rsid w:val="00C0293E"/>
    <w:rsid w:val="00C23F40"/>
    <w:rsid w:val="00C251E8"/>
    <w:rsid w:val="00C67739"/>
    <w:rsid w:val="00C84987"/>
    <w:rsid w:val="00D52116"/>
    <w:rsid w:val="00D74797"/>
    <w:rsid w:val="00DB4864"/>
    <w:rsid w:val="00E836CB"/>
    <w:rsid w:val="00E877BD"/>
    <w:rsid w:val="00EA3C4E"/>
    <w:rsid w:val="00EC2E19"/>
    <w:rsid w:val="00F01233"/>
    <w:rsid w:val="00F81B41"/>
    <w:rsid w:val="00FC777D"/>
    <w:rsid w:val="00FD7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AD5E"/>
  <w15:docId w15:val="{43274A81-93AA-4E99-82F4-C415407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A0"/>
  </w:style>
  <w:style w:type="paragraph" w:styleId="Ttulo1">
    <w:name w:val="heading 1"/>
    <w:basedOn w:val="Normal"/>
    <w:next w:val="Normal"/>
    <w:link w:val="Ttulo1Char"/>
    <w:uiPriority w:val="9"/>
    <w:qFormat/>
    <w:rsid w:val="001F43C4"/>
    <w:pPr>
      <w:keepNext/>
      <w:keepLines/>
      <w:spacing w:before="120" w:after="0" w:line="240" w:lineRule="auto"/>
      <w:jc w:val="center"/>
      <w:outlineLvl w:val="0"/>
    </w:pPr>
    <w:rPr>
      <w:rFonts w:ascii="Arial" w:eastAsia="Arial" w:hAnsi="Arial" w:cs="Arial"/>
      <w:b/>
      <w:bCs/>
      <w:caps/>
      <w:sz w:val="20"/>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43C4"/>
    <w:rPr>
      <w:rFonts w:ascii="Arial" w:eastAsia="Arial" w:hAnsi="Arial" w:cs="Arial"/>
      <w:b/>
      <w:bCs/>
      <w:caps/>
      <w:sz w:val="20"/>
      <w:szCs w:val="28"/>
      <w:lang w:eastAsia="pt-BR"/>
    </w:rPr>
  </w:style>
  <w:style w:type="paragraph" w:customStyle="1" w:styleId="Corpo">
    <w:name w:val="Corpo"/>
    <w:basedOn w:val="Normal"/>
    <w:qFormat/>
    <w:rsid w:val="001F43C4"/>
    <w:pPr>
      <w:spacing w:before="120" w:after="0" w:line="360" w:lineRule="auto"/>
      <w:ind w:firstLine="567"/>
      <w:jc w:val="both"/>
    </w:pPr>
    <w:rPr>
      <w:rFonts w:ascii="Calibri" w:eastAsia="Calibri" w:hAnsi="Calibri" w:cs="Times New Roman"/>
      <w:sz w:val="24"/>
    </w:rPr>
  </w:style>
  <w:style w:type="character" w:styleId="Hyperlink">
    <w:name w:val="Hyperlink"/>
    <w:basedOn w:val="Fontepargpadro"/>
    <w:uiPriority w:val="99"/>
    <w:unhideWhenUsed/>
    <w:rsid w:val="00AA2F4C"/>
    <w:rPr>
      <w:color w:val="0000FF" w:themeColor="hyperlink"/>
      <w:u w:val="single"/>
    </w:rPr>
  </w:style>
  <w:style w:type="table" w:styleId="Tabelacomgrade">
    <w:name w:val="Table Grid"/>
    <w:basedOn w:val="Tabelanormal"/>
    <w:uiPriority w:val="59"/>
    <w:rsid w:val="00AA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25E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5E22"/>
  </w:style>
  <w:style w:type="paragraph" w:styleId="Rodap">
    <w:name w:val="footer"/>
    <w:basedOn w:val="Normal"/>
    <w:link w:val="RodapChar"/>
    <w:uiPriority w:val="99"/>
    <w:unhideWhenUsed/>
    <w:rsid w:val="00A25E22"/>
    <w:pPr>
      <w:tabs>
        <w:tab w:val="center" w:pos="4252"/>
        <w:tab w:val="right" w:pos="8504"/>
      </w:tabs>
      <w:spacing w:after="0" w:line="240" w:lineRule="auto"/>
    </w:pPr>
  </w:style>
  <w:style w:type="character" w:customStyle="1" w:styleId="RodapChar">
    <w:name w:val="Rodapé Char"/>
    <w:basedOn w:val="Fontepargpadro"/>
    <w:link w:val="Rodap"/>
    <w:uiPriority w:val="99"/>
    <w:rsid w:val="00A2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jpr.jus.br/precatoiro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2445</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6</cp:revision>
  <cp:lastPrinted>2024-11-26T13:45:00Z</cp:lastPrinted>
  <dcterms:created xsi:type="dcterms:W3CDTF">2024-11-12T22:58:00Z</dcterms:created>
  <dcterms:modified xsi:type="dcterms:W3CDTF">2024-11-26T13:48:00Z</dcterms:modified>
</cp:coreProperties>
</file>